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67A2D" w14:textId="77777777" w:rsidR="001369BE" w:rsidRPr="000E2B3A" w:rsidRDefault="001369BE" w:rsidP="001369BE">
      <w:pPr>
        <w:jc w:val="center"/>
        <w:rPr>
          <w:b/>
          <w:sz w:val="36"/>
          <w:szCs w:val="36"/>
        </w:rPr>
      </w:pPr>
      <w:r w:rsidRPr="000E2B3A">
        <w:rPr>
          <w:b/>
          <w:sz w:val="36"/>
          <w:szCs w:val="36"/>
        </w:rPr>
        <w:t xml:space="preserve">Sex, Gender </w:t>
      </w:r>
      <w:r>
        <w:rPr>
          <w:b/>
          <w:sz w:val="36"/>
          <w:szCs w:val="36"/>
        </w:rPr>
        <w:t>&amp;</w:t>
      </w:r>
      <w:r w:rsidRPr="000E2B3A">
        <w:rPr>
          <w:b/>
          <w:sz w:val="36"/>
          <w:szCs w:val="36"/>
        </w:rPr>
        <w:t xml:space="preserve"> Law in American History </w:t>
      </w:r>
    </w:p>
    <w:p w14:paraId="69A9C94A" w14:textId="77777777" w:rsidR="001369BE" w:rsidRPr="00395E37" w:rsidRDefault="00CD7BAD" w:rsidP="001369BE">
      <w:pPr>
        <w:jc w:val="center"/>
        <w:rPr>
          <w:b/>
          <w:sz w:val="28"/>
          <w:szCs w:val="28"/>
        </w:rPr>
      </w:pPr>
      <w:r>
        <w:rPr>
          <w:b/>
          <w:sz w:val="28"/>
          <w:szCs w:val="28"/>
        </w:rPr>
        <w:t>HIST 362: Spring 2018</w:t>
      </w:r>
    </w:p>
    <w:p w14:paraId="319C1DE2" w14:textId="77777777" w:rsidR="001369BE" w:rsidRPr="00395E37" w:rsidRDefault="001369BE" w:rsidP="001369BE">
      <w:pPr>
        <w:rPr>
          <w:sz w:val="28"/>
          <w:szCs w:val="28"/>
          <w:lang w:bidi="en-US"/>
        </w:rPr>
      </w:pPr>
    </w:p>
    <w:p w14:paraId="4D33468F" w14:textId="77777777" w:rsidR="001369BE" w:rsidRPr="00395E37" w:rsidRDefault="001369BE" w:rsidP="001369BE">
      <w:pPr>
        <w:jc w:val="center"/>
        <w:rPr>
          <w:lang w:bidi="en-US"/>
        </w:rPr>
      </w:pPr>
      <w:r w:rsidRPr="00395E37">
        <w:rPr>
          <w:noProof/>
        </w:rPr>
        <w:drawing>
          <wp:inline distT="0" distB="0" distL="0" distR="0" wp14:anchorId="6C0209C0" wp14:editId="253D00FD">
            <wp:extent cx="5120640" cy="338328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0640" cy="3383280"/>
                    </a:xfrm>
                    <a:prstGeom prst="rect">
                      <a:avLst/>
                    </a:prstGeom>
                    <a:noFill/>
                    <a:ln>
                      <a:noFill/>
                    </a:ln>
                  </pic:spPr>
                </pic:pic>
              </a:graphicData>
            </a:graphic>
          </wp:inline>
        </w:drawing>
      </w:r>
    </w:p>
    <w:p w14:paraId="4326C586" w14:textId="77777777" w:rsidR="001369BE" w:rsidRPr="00395E37" w:rsidRDefault="001369BE" w:rsidP="001369BE">
      <w:pPr>
        <w:rPr>
          <w:lang w:bidi="en-US"/>
        </w:rPr>
      </w:pPr>
    </w:p>
    <w:p w14:paraId="41747CE5" w14:textId="77777777" w:rsidR="001369BE" w:rsidRPr="00395E37" w:rsidRDefault="001369BE" w:rsidP="001369BE">
      <w:pPr>
        <w:rPr>
          <w:lang w:bidi="en-US"/>
        </w:rPr>
      </w:pPr>
      <w:r w:rsidRPr="00395E37">
        <w:rPr>
          <w:lang w:bidi="en-US"/>
        </w:rPr>
        <w:t>Prof. Alison Lefkovitz</w:t>
      </w:r>
    </w:p>
    <w:p w14:paraId="2CE84784" w14:textId="77777777" w:rsidR="001369BE" w:rsidRPr="00395E37" w:rsidRDefault="001369BE" w:rsidP="001369BE">
      <w:pPr>
        <w:rPr>
          <w:lang w:bidi="en-US"/>
        </w:rPr>
      </w:pPr>
      <w:r w:rsidRPr="00395E37">
        <w:rPr>
          <w:lang w:bidi="en-US"/>
        </w:rPr>
        <w:t xml:space="preserve">Email: </w:t>
      </w:r>
      <w:hyperlink r:id="rId9" w:history="1">
        <w:r w:rsidRPr="00395E37">
          <w:rPr>
            <w:rStyle w:val="Hyperlink"/>
            <w:lang w:bidi="en-US"/>
          </w:rPr>
          <w:t>alison.lefkovitz@njit.edu</w:t>
        </w:r>
      </w:hyperlink>
    </w:p>
    <w:p w14:paraId="660C6320" w14:textId="675A80F5" w:rsidR="001369BE" w:rsidRPr="00395E37" w:rsidRDefault="00A552FB" w:rsidP="001369BE">
      <w:r>
        <w:t>MR 10:00-11:30 a</w:t>
      </w:r>
      <w:r w:rsidR="001369BE" w:rsidRPr="00395E37">
        <w:t>m</w:t>
      </w:r>
    </w:p>
    <w:p w14:paraId="0443AA1B" w14:textId="4ECF381F" w:rsidR="001369BE" w:rsidRPr="00395E37" w:rsidRDefault="001369BE" w:rsidP="001369BE">
      <w:pPr>
        <w:rPr>
          <w:lang w:bidi="en-US"/>
        </w:rPr>
      </w:pPr>
      <w:r w:rsidRPr="00395E37">
        <w:rPr>
          <w:lang w:bidi="en-US"/>
        </w:rPr>
        <w:t xml:space="preserve">Class Room: </w:t>
      </w:r>
      <w:r w:rsidR="00A552FB">
        <w:rPr>
          <w:lang w:bidi="en-US"/>
        </w:rPr>
        <w:t>Cullimore 110</w:t>
      </w:r>
    </w:p>
    <w:p w14:paraId="32E17B5E" w14:textId="640E20EA" w:rsidR="001369BE" w:rsidRPr="00395E37" w:rsidRDefault="001554C2" w:rsidP="001369BE">
      <w:pPr>
        <w:rPr>
          <w:lang w:bidi="en-US"/>
        </w:rPr>
      </w:pPr>
      <w:r>
        <w:rPr>
          <w:lang w:bidi="en-US"/>
        </w:rPr>
        <w:t>Office Hours: M</w:t>
      </w:r>
      <w:r w:rsidR="00A552FB">
        <w:rPr>
          <w:lang w:bidi="en-US"/>
        </w:rPr>
        <w:t>R 3:00-4</w:t>
      </w:r>
      <w:r w:rsidR="001369BE" w:rsidRPr="00395E37">
        <w:rPr>
          <w:lang w:bidi="en-US"/>
        </w:rPr>
        <w:t>:30 or by appointment</w:t>
      </w:r>
    </w:p>
    <w:p w14:paraId="0F468969" w14:textId="77777777" w:rsidR="001369BE" w:rsidRPr="00395E37" w:rsidRDefault="001369BE" w:rsidP="001369BE">
      <w:pPr>
        <w:rPr>
          <w:lang w:bidi="en-US"/>
        </w:rPr>
      </w:pPr>
      <w:r w:rsidRPr="00395E37">
        <w:rPr>
          <w:lang w:bidi="en-US"/>
        </w:rPr>
        <w:t>Office Hours Location: CULL 327</w:t>
      </w:r>
    </w:p>
    <w:p w14:paraId="201246D5" w14:textId="77777777" w:rsidR="001369BE" w:rsidRPr="00395E37" w:rsidRDefault="001369BE" w:rsidP="001369BE">
      <w:pPr>
        <w:jc w:val="center"/>
      </w:pPr>
    </w:p>
    <w:p w14:paraId="78340A01" w14:textId="4F972FB5" w:rsidR="001369BE" w:rsidRDefault="001369BE" w:rsidP="001369BE">
      <w:pPr>
        <w:rPr>
          <w:lang w:bidi="en-US"/>
        </w:rPr>
      </w:pPr>
      <w:r w:rsidRPr="00395E37">
        <w:rPr>
          <w:lang w:bidi="en-US"/>
        </w:rPr>
        <w:t>This course examines how the American legal system has used gender and sexuality as or</w:t>
      </w:r>
      <w:r>
        <w:rPr>
          <w:lang w:bidi="en-US"/>
        </w:rPr>
        <w:t xml:space="preserve">ganizing categories over time. </w:t>
      </w:r>
      <w:r w:rsidR="00134E6C">
        <w:rPr>
          <w:lang w:bidi="en-US"/>
        </w:rPr>
        <w:t>It</w:t>
      </w:r>
      <w:r>
        <w:rPr>
          <w:lang w:bidi="en-US"/>
        </w:rPr>
        <w:t xml:space="preserve"> </w:t>
      </w:r>
      <w:r w:rsidR="00134E6C">
        <w:rPr>
          <w:lang w:bidi="en-US"/>
        </w:rPr>
        <w:t xml:space="preserve">first </w:t>
      </w:r>
      <w:r w:rsidRPr="00395E37">
        <w:rPr>
          <w:lang w:bidi="en-US"/>
        </w:rPr>
        <w:t>asks how the law treated men and women differently from the colo</w:t>
      </w:r>
      <w:r>
        <w:rPr>
          <w:lang w:bidi="en-US"/>
        </w:rPr>
        <w:t xml:space="preserve">nial period until the present. </w:t>
      </w:r>
      <w:r w:rsidRPr="00395E37">
        <w:rPr>
          <w:lang w:bidi="en-US"/>
        </w:rPr>
        <w:t>We will study laws that very clearly dictated different gender roles for men and women, including marriage laws, suffrage laws, and laws desi</w:t>
      </w:r>
      <w:r>
        <w:rPr>
          <w:lang w:bidi="en-US"/>
        </w:rPr>
        <w:t xml:space="preserve">gnating legal and illegal sex. </w:t>
      </w:r>
      <w:r w:rsidRPr="00395E37">
        <w:rPr>
          <w:lang w:bidi="en-US"/>
        </w:rPr>
        <w:t>We will also explore the ways that laws that seemed to apply generically to everyone affected men and women differently, including laws regulating slavery,</w:t>
      </w:r>
      <w:r>
        <w:rPr>
          <w:lang w:bidi="en-US"/>
        </w:rPr>
        <w:t xml:space="preserve"> citizenship, and segregation. Second,</w:t>
      </w:r>
      <w:r w:rsidRPr="00395E37">
        <w:rPr>
          <w:lang w:bidi="en-US"/>
        </w:rPr>
        <w:t xml:space="preserve"> we will also examine how wh</w:t>
      </w:r>
      <w:r w:rsidR="00D03877">
        <w:rPr>
          <w:lang w:bidi="en-US"/>
        </w:rPr>
        <w:t>ich</w:t>
      </w:r>
      <w:r w:rsidRPr="00395E37">
        <w:rPr>
          <w:lang w:bidi="en-US"/>
        </w:rPr>
        <w:t xml:space="preserve"> sexual practice</w:t>
      </w:r>
      <w:r w:rsidR="00D03877">
        <w:rPr>
          <w:lang w:bidi="en-US"/>
        </w:rPr>
        <w:t>s</w:t>
      </w:r>
      <w:r w:rsidRPr="00395E37">
        <w:rPr>
          <w:lang w:bidi="en-US"/>
        </w:rPr>
        <w:t xml:space="preserve"> w</w:t>
      </w:r>
      <w:r w:rsidR="00D03877">
        <w:rPr>
          <w:lang w:bidi="en-US"/>
        </w:rPr>
        <w:t>ere</w:t>
      </w:r>
      <w:r w:rsidRPr="00395E37">
        <w:rPr>
          <w:lang w:bidi="en-US"/>
        </w:rPr>
        <w:t xml:space="preserve"> considered troublesome changed over time, why, and ho</w:t>
      </w:r>
      <w:r w:rsidR="00D03877">
        <w:rPr>
          <w:lang w:bidi="en-US"/>
        </w:rPr>
        <w:t>w the law tried to control them</w:t>
      </w:r>
      <w:r>
        <w:rPr>
          <w:lang w:bidi="en-US"/>
        </w:rPr>
        <w:t xml:space="preserve">. </w:t>
      </w:r>
      <w:r w:rsidRPr="00395E37">
        <w:rPr>
          <w:lang w:bidi="en-US"/>
        </w:rPr>
        <w:t xml:space="preserve">This will lead us to look also at how we came to create sexual identity </w:t>
      </w:r>
      <w:r>
        <w:rPr>
          <w:lang w:bidi="en-US"/>
        </w:rPr>
        <w:t>as a category in the law</w:t>
      </w:r>
      <w:r w:rsidRPr="00395E37">
        <w:rPr>
          <w:lang w:bidi="en-US"/>
        </w:rPr>
        <w:t xml:space="preserve">. Finally, we </w:t>
      </w:r>
      <w:r>
        <w:rPr>
          <w:lang w:bidi="en-US"/>
        </w:rPr>
        <w:t xml:space="preserve">will </w:t>
      </w:r>
      <w:r w:rsidRPr="00395E37">
        <w:rPr>
          <w:lang w:bidi="en-US"/>
        </w:rPr>
        <w:t xml:space="preserve">ask how race, class, and nationality all complicated these relationships. </w:t>
      </w:r>
    </w:p>
    <w:p w14:paraId="7F70C424" w14:textId="77777777" w:rsidR="001369BE" w:rsidRDefault="001369BE" w:rsidP="001369BE">
      <w:pPr>
        <w:rPr>
          <w:lang w:bidi="en-US"/>
        </w:rPr>
      </w:pPr>
    </w:p>
    <w:p w14:paraId="24219BFB" w14:textId="77777777" w:rsidR="001369BE" w:rsidRPr="00660CDE" w:rsidRDefault="001369BE" w:rsidP="001369BE">
      <w:pPr>
        <w:rPr>
          <w:b/>
        </w:rPr>
      </w:pPr>
      <w:r w:rsidRPr="00660CDE">
        <w:rPr>
          <w:b/>
        </w:rPr>
        <w:t xml:space="preserve">Code of Conduct: </w:t>
      </w:r>
    </w:p>
    <w:p w14:paraId="3869AC40" w14:textId="77777777" w:rsidR="001369BE" w:rsidRPr="00660CDE" w:rsidRDefault="001369BE" w:rsidP="001369BE">
      <w:r w:rsidRPr="00660CDE">
        <w:t xml:space="preserve">--Though I hope we disagree on many different issues, I expect you to treat the class, your fellow students, and me with respect at all times.  </w:t>
      </w:r>
    </w:p>
    <w:p w14:paraId="4901D257" w14:textId="15CC2076" w:rsidR="001369BE" w:rsidRPr="00660CDE" w:rsidRDefault="001369BE" w:rsidP="001369BE">
      <w:r w:rsidRPr="00660CDE">
        <w:lastRenderedPageBreak/>
        <w:t xml:space="preserve">--No cell phones, no texting, no </w:t>
      </w:r>
      <w:r w:rsidR="00D03877">
        <w:t>social media</w:t>
      </w:r>
      <w:r w:rsidRPr="00660CDE">
        <w:t xml:space="preserve">, etc.  If students cannot conduct themselves without disruption, I will disallow computers in the classroom.  Anyone who wishes to use a laptop must sit in the front row of the classroom.  </w:t>
      </w:r>
    </w:p>
    <w:p w14:paraId="65EF2B32" w14:textId="40155315" w:rsidR="001369BE" w:rsidRDefault="001369BE" w:rsidP="00136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660CDE">
        <w:t xml:space="preserve">--Plagiarism and other forms of academic dishonesty are unacceptable. You will be submitting all written work via turnitin.  For further information on academic dishonesty and the policy I will follow if I discover any problems, see: </w:t>
      </w:r>
      <w:hyperlink r:id="rId10" w:history="1">
        <w:r w:rsidR="00134E6C" w:rsidRPr="00CB0B4D">
          <w:rPr>
            <w:rStyle w:val="Hyperlink"/>
          </w:rPr>
          <w:t>https://www.njit.edu/policies/sites/policies/files/academic-integrity-code.pdf</w:t>
        </w:r>
      </w:hyperlink>
    </w:p>
    <w:p w14:paraId="28F9FCAA" w14:textId="77777777" w:rsidR="001369BE" w:rsidRPr="00395E37" w:rsidRDefault="001369BE" w:rsidP="001369BE"/>
    <w:tbl>
      <w:tblPr>
        <w:tblStyle w:val="TableGrid"/>
        <w:tblW w:w="8298" w:type="dxa"/>
        <w:tblLook w:val="04A0" w:firstRow="1" w:lastRow="0" w:firstColumn="1" w:lastColumn="0" w:noHBand="0" w:noVBand="1"/>
      </w:tblPr>
      <w:tblGrid>
        <w:gridCol w:w="8298"/>
      </w:tblGrid>
      <w:tr w:rsidR="001369BE" w:rsidRPr="00395E37" w14:paraId="644809B2" w14:textId="77777777" w:rsidTr="00CD7BAD">
        <w:tc>
          <w:tcPr>
            <w:tcW w:w="8298" w:type="dxa"/>
          </w:tcPr>
          <w:p w14:paraId="195EC8BF" w14:textId="77777777" w:rsidR="001369BE" w:rsidRPr="00395E37" w:rsidRDefault="001369BE" w:rsidP="00CD7BAD">
            <w:pPr>
              <w:tabs>
                <w:tab w:val="left" w:pos="360"/>
                <w:tab w:val="left" w:pos="720"/>
                <w:tab w:val="left" w:pos="2880"/>
                <w:tab w:val="left" w:pos="4320"/>
                <w:tab w:val="left" w:pos="4680"/>
                <w:tab w:val="left" w:pos="7830"/>
                <w:tab w:val="right" w:pos="9270"/>
              </w:tabs>
              <w:rPr>
                <w:rFonts w:cs="ArialMT"/>
                <w:lang w:bidi="en-US"/>
              </w:rPr>
            </w:pPr>
            <w:r w:rsidRPr="00395E37">
              <w:rPr>
                <w:rFonts w:cs="ArialMT"/>
                <w:lang w:bidi="en-US"/>
              </w:rPr>
              <w:t>Learning Outcomes</w:t>
            </w:r>
          </w:p>
        </w:tc>
      </w:tr>
      <w:tr w:rsidR="001369BE" w:rsidRPr="00395E37" w14:paraId="7CE693BE" w14:textId="77777777" w:rsidTr="00CD7BAD">
        <w:tc>
          <w:tcPr>
            <w:tcW w:w="8298" w:type="dxa"/>
          </w:tcPr>
          <w:p w14:paraId="3AA8E85A" w14:textId="77777777" w:rsidR="001369BE" w:rsidRPr="00395E37" w:rsidRDefault="001369BE" w:rsidP="00CD7BAD">
            <w:pPr>
              <w:tabs>
                <w:tab w:val="left" w:pos="360"/>
                <w:tab w:val="left" w:pos="720"/>
                <w:tab w:val="left" w:pos="2880"/>
                <w:tab w:val="left" w:pos="4320"/>
                <w:tab w:val="left" w:pos="4680"/>
                <w:tab w:val="left" w:pos="7830"/>
                <w:tab w:val="right" w:pos="9270"/>
              </w:tabs>
              <w:rPr>
                <w:rFonts w:cs="ArialMT"/>
                <w:lang w:bidi="en-US"/>
              </w:rPr>
            </w:pPr>
            <w:r w:rsidRPr="00395E37">
              <w:rPr>
                <w:rFonts w:cs="ArialMT"/>
                <w:lang w:bidi="en-US"/>
              </w:rPr>
              <w:t>a) track the changes and continuities in the American legal system related to gender and sexuality</w:t>
            </w:r>
          </w:p>
        </w:tc>
      </w:tr>
      <w:tr w:rsidR="001369BE" w:rsidRPr="00395E37" w14:paraId="178D9B56" w14:textId="77777777" w:rsidTr="00CD7BAD">
        <w:tc>
          <w:tcPr>
            <w:tcW w:w="8298" w:type="dxa"/>
          </w:tcPr>
          <w:p w14:paraId="34BED211" w14:textId="77777777" w:rsidR="001369BE" w:rsidRPr="00395E37" w:rsidRDefault="001369BE" w:rsidP="00CD7BAD">
            <w:pPr>
              <w:tabs>
                <w:tab w:val="left" w:pos="360"/>
                <w:tab w:val="left" w:pos="720"/>
                <w:tab w:val="left" w:pos="2880"/>
                <w:tab w:val="left" w:pos="4320"/>
                <w:tab w:val="left" w:pos="4680"/>
                <w:tab w:val="left" w:pos="7830"/>
                <w:tab w:val="right" w:pos="9270"/>
              </w:tabs>
              <w:rPr>
                <w:rFonts w:cs="ArialMT"/>
                <w:lang w:bidi="en-US"/>
              </w:rPr>
            </w:pPr>
            <w:r w:rsidRPr="00395E37">
              <w:rPr>
                <w:rFonts w:cs="ArialMT"/>
                <w:lang w:bidi="en-US"/>
              </w:rPr>
              <w:t>b) identify how these changes came to pass in class discussion and written assignments</w:t>
            </w:r>
          </w:p>
        </w:tc>
      </w:tr>
      <w:tr w:rsidR="001369BE" w:rsidRPr="00395E37" w14:paraId="72188A30" w14:textId="77777777" w:rsidTr="00CD7BAD">
        <w:tc>
          <w:tcPr>
            <w:tcW w:w="8298" w:type="dxa"/>
          </w:tcPr>
          <w:p w14:paraId="2E8CFED2" w14:textId="77777777" w:rsidR="001369BE" w:rsidRPr="00395E37" w:rsidRDefault="001369BE" w:rsidP="00CD7BAD">
            <w:pPr>
              <w:tabs>
                <w:tab w:val="left" w:pos="360"/>
                <w:tab w:val="left" w:pos="720"/>
                <w:tab w:val="left" w:pos="2880"/>
                <w:tab w:val="left" w:pos="4320"/>
                <w:tab w:val="left" w:pos="4680"/>
                <w:tab w:val="left" w:pos="7830"/>
                <w:tab w:val="right" w:pos="9270"/>
              </w:tabs>
              <w:rPr>
                <w:rFonts w:cs="ArialMT"/>
                <w:lang w:bidi="en-US"/>
              </w:rPr>
            </w:pPr>
            <w:r w:rsidRPr="00395E37">
              <w:rPr>
                <w:rFonts w:cs="ArialMT"/>
                <w:lang w:bidi="en-US"/>
              </w:rPr>
              <w:t>c) engage in debate on the relationship between power and the law</w:t>
            </w:r>
          </w:p>
        </w:tc>
      </w:tr>
      <w:tr w:rsidR="001369BE" w:rsidRPr="00395E37" w14:paraId="19EA6C20" w14:textId="77777777" w:rsidTr="00CD7BAD">
        <w:tc>
          <w:tcPr>
            <w:tcW w:w="8298" w:type="dxa"/>
          </w:tcPr>
          <w:p w14:paraId="327A53B7" w14:textId="77777777" w:rsidR="001369BE" w:rsidRPr="00395E37" w:rsidRDefault="001369BE" w:rsidP="00CD7BAD">
            <w:pPr>
              <w:tabs>
                <w:tab w:val="left" w:pos="360"/>
                <w:tab w:val="left" w:pos="720"/>
                <w:tab w:val="left" w:pos="2880"/>
                <w:tab w:val="left" w:pos="4320"/>
                <w:tab w:val="left" w:pos="4680"/>
                <w:tab w:val="left" w:pos="7830"/>
                <w:tab w:val="right" w:pos="9270"/>
              </w:tabs>
              <w:rPr>
                <w:rFonts w:cs="ArialMT"/>
                <w:lang w:bidi="en-US"/>
              </w:rPr>
            </w:pPr>
            <w:r w:rsidRPr="00395E37">
              <w:rPr>
                <w:rFonts w:cs="ArialMT"/>
                <w:lang w:bidi="en-US"/>
              </w:rPr>
              <w:t>d) assess interpretive approaches and biases in secondary sources</w:t>
            </w:r>
          </w:p>
        </w:tc>
      </w:tr>
      <w:tr w:rsidR="001369BE" w:rsidRPr="00395E37" w14:paraId="07614E03" w14:textId="77777777" w:rsidTr="00CD7BAD">
        <w:tc>
          <w:tcPr>
            <w:tcW w:w="8298" w:type="dxa"/>
          </w:tcPr>
          <w:p w14:paraId="5142B688" w14:textId="77777777" w:rsidR="001369BE" w:rsidRPr="00395E37" w:rsidRDefault="001369BE" w:rsidP="00CD7BAD">
            <w:pPr>
              <w:tabs>
                <w:tab w:val="left" w:pos="360"/>
                <w:tab w:val="left" w:pos="720"/>
                <w:tab w:val="left" w:pos="2880"/>
                <w:tab w:val="left" w:pos="4320"/>
                <w:tab w:val="left" w:pos="4680"/>
                <w:tab w:val="left" w:pos="7830"/>
                <w:tab w:val="right" w:pos="9270"/>
              </w:tabs>
              <w:rPr>
                <w:rFonts w:cs="ArialMT"/>
                <w:lang w:bidi="en-US"/>
              </w:rPr>
            </w:pPr>
            <w:r w:rsidRPr="00395E37">
              <w:rPr>
                <w:rFonts w:cs="ArialMT"/>
                <w:lang w:bidi="en-US"/>
              </w:rPr>
              <w:t>e) make arguments using legal documents as primary sources</w:t>
            </w:r>
          </w:p>
        </w:tc>
      </w:tr>
      <w:tr w:rsidR="001369BE" w:rsidRPr="00395E37" w14:paraId="33E616BE" w14:textId="77777777" w:rsidTr="00CD7BAD">
        <w:tc>
          <w:tcPr>
            <w:tcW w:w="8298" w:type="dxa"/>
          </w:tcPr>
          <w:p w14:paraId="3AFA6AF5" w14:textId="77777777" w:rsidR="001369BE" w:rsidRPr="00395E37" w:rsidRDefault="001369BE" w:rsidP="00CD7BAD">
            <w:pPr>
              <w:tabs>
                <w:tab w:val="left" w:pos="360"/>
                <w:tab w:val="left" w:pos="720"/>
                <w:tab w:val="left" w:pos="2880"/>
                <w:tab w:val="left" w:pos="4320"/>
                <w:tab w:val="left" w:pos="4680"/>
                <w:tab w:val="left" w:pos="7830"/>
                <w:tab w:val="right" w:pos="9270"/>
              </w:tabs>
              <w:rPr>
                <w:rFonts w:cs="ArialMT"/>
                <w:lang w:bidi="en-US"/>
              </w:rPr>
            </w:pPr>
            <w:r w:rsidRPr="00395E37">
              <w:t xml:space="preserve">f) relate historical changes to present day legal issues  </w:t>
            </w:r>
          </w:p>
        </w:tc>
      </w:tr>
      <w:tr w:rsidR="001369BE" w:rsidRPr="00395E37" w14:paraId="1ED852C9" w14:textId="77777777" w:rsidTr="00CD7BAD">
        <w:tc>
          <w:tcPr>
            <w:tcW w:w="8298" w:type="dxa"/>
          </w:tcPr>
          <w:p w14:paraId="1D03336B" w14:textId="77777777" w:rsidR="001369BE" w:rsidRPr="00395E37" w:rsidRDefault="001369BE" w:rsidP="00CD7BAD">
            <w:pPr>
              <w:tabs>
                <w:tab w:val="left" w:pos="360"/>
                <w:tab w:val="left" w:pos="720"/>
                <w:tab w:val="left" w:pos="2880"/>
                <w:tab w:val="left" w:pos="4320"/>
                <w:tab w:val="left" w:pos="4680"/>
                <w:tab w:val="left" w:pos="7830"/>
                <w:tab w:val="right" w:pos="9270"/>
              </w:tabs>
            </w:pPr>
            <w:r w:rsidRPr="00395E37">
              <w:t>g) demonstrate information literacy through the use of appropriate source material and original research and the ability to cite properly</w:t>
            </w:r>
          </w:p>
        </w:tc>
      </w:tr>
    </w:tbl>
    <w:p w14:paraId="6BECA45C" w14:textId="77777777" w:rsidR="001369BE" w:rsidRPr="00395E37" w:rsidRDefault="001369BE" w:rsidP="001369BE"/>
    <w:p w14:paraId="706A583A" w14:textId="77777777" w:rsidR="001369BE" w:rsidRPr="00395E37" w:rsidRDefault="001369BE" w:rsidP="001369BE">
      <w:r w:rsidRPr="00395E37">
        <w:t xml:space="preserve">Course Requirements: </w:t>
      </w:r>
    </w:p>
    <w:p w14:paraId="3AC79E2F" w14:textId="76E4F582" w:rsidR="001369BE" w:rsidRPr="00395E37" w:rsidRDefault="001369BE" w:rsidP="001369BE">
      <w:pPr>
        <w:numPr>
          <w:ilvl w:val="0"/>
          <w:numId w:val="1"/>
        </w:numPr>
      </w:pPr>
      <w:r w:rsidRPr="00395E37">
        <w:t xml:space="preserve">Attendance, participation, careful reading of the assigned texts, and pop quizzes if necessary.  This class will mix lecture and discussion. You will be expected to participate in discussion. You will also need to actively participate to </w:t>
      </w:r>
      <w:r>
        <w:t>get points in this category. (15</w:t>
      </w:r>
      <w:r w:rsidRPr="00395E37">
        <w:t>0 points</w:t>
      </w:r>
      <w:r w:rsidR="00134E6C">
        <w:t>/100 points Honors</w:t>
      </w:r>
      <w:r w:rsidRPr="00395E37">
        <w:t>)</w:t>
      </w:r>
    </w:p>
    <w:p w14:paraId="170C4752" w14:textId="500A88F1" w:rsidR="001369BE" w:rsidRPr="00395E37" w:rsidRDefault="001369BE" w:rsidP="001369BE">
      <w:pPr>
        <w:numPr>
          <w:ilvl w:val="0"/>
          <w:numId w:val="1"/>
        </w:numPr>
      </w:pPr>
      <w:r w:rsidRPr="00395E37">
        <w:t xml:space="preserve">2-3 page short paper. Compare or contrast the politics of interracial sex </w:t>
      </w:r>
      <w:r w:rsidR="00D03877">
        <w:t xml:space="preserve">(Hodes) </w:t>
      </w:r>
      <w:r w:rsidRPr="00395E37">
        <w:t xml:space="preserve">and </w:t>
      </w:r>
      <w:r w:rsidR="00901F86">
        <w:t>cross-dressing</w:t>
      </w:r>
      <w:r w:rsidR="00D03877">
        <w:t xml:space="preserve"> (Sears)</w:t>
      </w:r>
      <w:r w:rsidRPr="00395E37">
        <w:t xml:space="preserve"> prior to the Civil War in 2 to 3 double-spaced pages.  You may want to consider how these kinds of sexual “deviancy” compared to other forms of sexuality we read about in the first two weeks. This should not be a list of things that are the same </w:t>
      </w:r>
      <w:r w:rsidR="001A782C">
        <w:t xml:space="preserve">and things that are different. </w:t>
      </w:r>
      <w:r w:rsidRPr="00395E37">
        <w:t xml:space="preserve">Rather, you should make an argument about how the situations were different </w:t>
      </w:r>
      <w:r w:rsidRPr="00395E37">
        <w:rPr>
          <w:i/>
        </w:rPr>
        <w:t>and why</w:t>
      </w:r>
      <w:r w:rsidRPr="00395E37">
        <w:t xml:space="preserve"> or how things were similar </w:t>
      </w:r>
      <w:r w:rsidRPr="00395E37">
        <w:rPr>
          <w:i/>
        </w:rPr>
        <w:t>and why</w:t>
      </w:r>
      <w:r w:rsidR="001A782C">
        <w:t xml:space="preserve">. </w:t>
      </w:r>
      <w:r w:rsidRPr="00395E37">
        <w:t>You can take into account change over time, differences in race and power in the two accounts</w:t>
      </w:r>
      <w:r w:rsidR="001A782C">
        <w:t>, continuities in the law, etc.</w:t>
      </w:r>
      <w:r w:rsidRPr="00395E37">
        <w:t xml:space="preserve"> Be creative and feel free to visit me during office hours or email </w:t>
      </w:r>
      <w:r w:rsidR="00134E6C">
        <w:t>me for help. DUE FEBRUARY 8</w:t>
      </w:r>
      <w:r w:rsidR="00DE1D7C">
        <w:t xml:space="preserve"> (15</w:t>
      </w:r>
      <w:r w:rsidRPr="00395E37">
        <w:t>0 points</w:t>
      </w:r>
      <w:r w:rsidR="00134E6C">
        <w:t>/150 points Honors</w:t>
      </w:r>
      <w:r w:rsidRPr="00395E37">
        <w:t>)</w:t>
      </w:r>
    </w:p>
    <w:p w14:paraId="4D18CAE3" w14:textId="46B2F8E6" w:rsidR="001369BE" w:rsidRDefault="001A782C" w:rsidP="001369BE">
      <w:pPr>
        <w:numPr>
          <w:ilvl w:val="0"/>
          <w:numId w:val="1"/>
        </w:numPr>
      </w:pPr>
      <w:r>
        <w:t xml:space="preserve">Current events. </w:t>
      </w:r>
      <w:r w:rsidR="001369BE" w:rsidRPr="00395E37">
        <w:t xml:space="preserve">You will be responsible for </w:t>
      </w:r>
      <w:r w:rsidR="00DE1D7C">
        <w:t>retweeting</w:t>
      </w:r>
      <w:r w:rsidR="001369BE" w:rsidRPr="00395E37">
        <w:t xml:space="preserve"> a current event (newspaper, magazine, internet, or tv/radio spot) related to </w:t>
      </w:r>
      <w:r w:rsidR="001369BE">
        <w:t xml:space="preserve">sex, </w:t>
      </w:r>
      <w:r w:rsidR="001369BE" w:rsidRPr="00395E37">
        <w:t>gender</w:t>
      </w:r>
      <w:r w:rsidR="001369BE">
        <w:t>,</w:t>
      </w:r>
      <w:r w:rsidR="001369BE" w:rsidRPr="00395E37">
        <w:t xml:space="preserve"> and the law </w:t>
      </w:r>
      <w:r w:rsidR="00620F40">
        <w:t>four times this semester</w:t>
      </w:r>
      <w:r w:rsidR="00DE1D7C">
        <w:t xml:space="preserve"> using the course hashtag #hist362</w:t>
      </w:r>
      <w:r w:rsidR="001369BE" w:rsidRPr="00395E37">
        <w:t>. We will discuss these legal events in class and how they relate to the history we’re exploring</w:t>
      </w:r>
      <w:r w:rsidR="00134E6C">
        <w:t xml:space="preserve">. </w:t>
      </w:r>
      <w:r w:rsidR="00DE1D7C">
        <w:t>(5</w:t>
      </w:r>
      <w:r w:rsidR="001369BE">
        <w:t>0 points</w:t>
      </w:r>
      <w:r w:rsidR="00134E6C">
        <w:t>/25 points Honors</w:t>
      </w:r>
      <w:r w:rsidR="001369BE">
        <w:t xml:space="preserve">). </w:t>
      </w:r>
    </w:p>
    <w:p w14:paraId="25CAEB79" w14:textId="72561744" w:rsidR="00DE1D7C" w:rsidRPr="00395E37" w:rsidRDefault="00DE1D7C" w:rsidP="001369BE">
      <w:pPr>
        <w:numPr>
          <w:ilvl w:val="0"/>
          <w:numId w:val="1"/>
        </w:numPr>
      </w:pPr>
      <w:r>
        <w:t xml:space="preserve">Reader’s responses. </w:t>
      </w:r>
      <w:r w:rsidR="001A4BD7">
        <w:t>These should be no more than a page in length and QUOTE</w:t>
      </w:r>
      <w:r w:rsidR="001A4BD7" w:rsidRPr="00ED0805">
        <w:t xml:space="preserve"> at least two of </w:t>
      </w:r>
      <w:r w:rsidR="001A4BD7">
        <w:t xml:space="preserve">that week’s assigned readings. </w:t>
      </w:r>
      <w:r>
        <w:t xml:space="preserve">Responses that quote two documents and are posted </w:t>
      </w:r>
      <w:r w:rsidR="00D03877">
        <w:t>before class on Thursday</w:t>
      </w:r>
      <w:r>
        <w:t xml:space="preserve"> will get full credit. I will not accept late reader’s responses. </w:t>
      </w:r>
      <w:r w:rsidR="00620F40">
        <w:t>(150 points</w:t>
      </w:r>
      <w:r w:rsidR="00134E6C">
        <w:t>/100 points Honors</w:t>
      </w:r>
      <w:r w:rsidR="00620F40">
        <w:t>)</w:t>
      </w:r>
    </w:p>
    <w:p w14:paraId="4B2C45D9" w14:textId="22632D3F" w:rsidR="001369BE" w:rsidRPr="00395E37" w:rsidRDefault="001369BE" w:rsidP="001369BE">
      <w:pPr>
        <w:numPr>
          <w:ilvl w:val="0"/>
          <w:numId w:val="1"/>
        </w:numPr>
      </w:pPr>
      <w:r w:rsidRPr="00395E37">
        <w:t>A midterm. The</w:t>
      </w:r>
      <w:r w:rsidR="001A782C">
        <w:t xml:space="preserve"> exam will have identifications and </w:t>
      </w:r>
      <w:r w:rsidRPr="00395E37">
        <w:t>short answer questions based on the themes and readings in the first half of the course. The midt</w:t>
      </w:r>
      <w:r w:rsidR="00134E6C">
        <w:t>erm will be on THURSDAY, MARCH 1</w:t>
      </w:r>
      <w:r w:rsidRPr="00395E37">
        <w:t>. (200 points</w:t>
      </w:r>
      <w:r w:rsidR="00134E6C">
        <w:t>/200 points Honors</w:t>
      </w:r>
      <w:r w:rsidRPr="00395E37">
        <w:t>)</w:t>
      </w:r>
    </w:p>
    <w:p w14:paraId="7C80786F" w14:textId="48169BE1" w:rsidR="001369BE" w:rsidRDefault="00E35265" w:rsidP="001369BE">
      <w:pPr>
        <w:numPr>
          <w:ilvl w:val="0"/>
          <w:numId w:val="1"/>
        </w:numPr>
      </w:pPr>
      <w:r>
        <w:t>7-9</w:t>
      </w:r>
      <w:r w:rsidR="00620F40">
        <w:t xml:space="preserve"> page final paper. </w:t>
      </w:r>
      <w:r w:rsidR="001369BE" w:rsidRPr="00395E37">
        <w:t xml:space="preserve">In this paper, you will be responsible for </w:t>
      </w:r>
      <w:r>
        <w:t>identifying and analyzing a gender/sexuality and law-related primary source</w:t>
      </w:r>
      <w:r w:rsidR="001369BE" w:rsidRPr="00395E37">
        <w:t xml:space="preserve">. </w:t>
      </w:r>
      <w:r>
        <w:t xml:space="preserve">This could be a case, but it could also be a government report, a film, a short story, a series of newspaper articles, etc. </w:t>
      </w:r>
      <w:r w:rsidR="001369BE" w:rsidRPr="00395E37">
        <w:t xml:space="preserve">The purpose of the paper is to </w:t>
      </w:r>
      <w:r>
        <w:t>put the source in its historical context using secondary sources from the course, outside research, or both</w:t>
      </w:r>
      <w:r w:rsidR="001369BE" w:rsidRPr="00395E37">
        <w:t xml:space="preserve">. </w:t>
      </w:r>
      <w:r>
        <w:t xml:space="preserve">Successful papers will use the primary source to understand how gender or sexuality helped shape American life. </w:t>
      </w:r>
      <w:r w:rsidR="001369BE" w:rsidRPr="00395E37">
        <w:t>The paper is due T</w:t>
      </w:r>
      <w:r w:rsidR="001369BE">
        <w:t>HUR</w:t>
      </w:r>
      <w:r w:rsidR="00134E6C">
        <w:t>SDAY MAY 7</w:t>
      </w:r>
      <w:r w:rsidR="001369BE" w:rsidRPr="00395E37">
        <w:t xml:space="preserve"> by 5 pm. (300 points</w:t>
      </w:r>
      <w:r w:rsidR="00134E6C">
        <w:t>/275 points Honors</w:t>
      </w:r>
      <w:r w:rsidR="001369BE" w:rsidRPr="00395E37">
        <w:t>)</w:t>
      </w:r>
    </w:p>
    <w:p w14:paraId="4C1CBC74" w14:textId="03E3F8CF" w:rsidR="00DE1D7C" w:rsidRPr="00395E37" w:rsidRDefault="00DE1D7C" w:rsidP="001369BE">
      <w:pPr>
        <w:numPr>
          <w:ilvl w:val="0"/>
          <w:numId w:val="1"/>
        </w:numPr>
      </w:pPr>
      <w:r>
        <w:t>HONORS ONLY: You are responsible for writing an entry for patenthistory.org either individually or in groups of 2-4. You should choose a patent that is somehow related</w:t>
      </w:r>
      <w:r w:rsidR="00620F40">
        <w:t xml:space="preserve"> to gender or sexuality and use</w:t>
      </w:r>
      <w:r>
        <w:t xml:space="preserve"> the Mark Eden bust developer entry as a model. The best entries will be published on the website. </w:t>
      </w:r>
      <w:r w:rsidR="00134E6C">
        <w:t>DUE APRIL 23 (150 points Honors)</w:t>
      </w:r>
    </w:p>
    <w:p w14:paraId="67993C06" w14:textId="77777777" w:rsidR="001369BE" w:rsidRPr="00395E37" w:rsidRDefault="001369BE" w:rsidP="001369BE"/>
    <w:p w14:paraId="7CA09C33" w14:textId="6FA6AF93" w:rsidR="001369BE" w:rsidRPr="00395E37" w:rsidRDefault="001369BE" w:rsidP="001369BE">
      <w:pPr>
        <w:rPr>
          <w:b/>
        </w:rPr>
      </w:pPr>
      <w:r w:rsidRPr="00395E37">
        <w:t xml:space="preserve">Some readings will be available on </w:t>
      </w:r>
      <w:r w:rsidRPr="00395E37">
        <w:rPr>
          <w:b/>
        </w:rPr>
        <w:t>Moodle</w:t>
      </w:r>
      <w:r w:rsidRPr="00395E37">
        <w:t>.</w:t>
      </w:r>
      <w:r w:rsidRPr="00395E37">
        <w:rPr>
          <w:b/>
        </w:rPr>
        <w:t xml:space="preserve">  </w:t>
      </w:r>
      <w:r w:rsidR="00620F40">
        <w:t>The following required text</w:t>
      </w:r>
      <w:r w:rsidRPr="00395E37">
        <w:t xml:space="preserve"> will be available</w:t>
      </w:r>
      <w:r w:rsidR="00620F40">
        <w:t xml:space="preserve"> at the bookstore for purchase. It is </w:t>
      </w:r>
      <w:r w:rsidRPr="00395E37">
        <w:t>a</w:t>
      </w:r>
      <w:r>
        <w:t>lso available on reserve at the</w:t>
      </w:r>
      <w:r w:rsidRPr="00395E37">
        <w:t xml:space="preserve"> Library:</w:t>
      </w:r>
    </w:p>
    <w:p w14:paraId="3895518E" w14:textId="77777777" w:rsidR="001369BE" w:rsidRPr="00395E37" w:rsidRDefault="001369BE" w:rsidP="001369BE">
      <w:r w:rsidRPr="00395E37">
        <w:rPr>
          <w:b/>
        </w:rPr>
        <w:t>--</w:t>
      </w:r>
      <w:r w:rsidRPr="00395E37">
        <w:t xml:space="preserve">Margot Canaday, </w:t>
      </w:r>
      <w:r w:rsidRPr="00395E37">
        <w:rPr>
          <w:i/>
        </w:rPr>
        <w:t>The Straight State: Sexuality and Citizenship in Twentieth Century America</w:t>
      </w:r>
      <w:r w:rsidRPr="00395E37">
        <w:t xml:space="preserve"> (Princeton University Press, 2009).  </w:t>
      </w:r>
    </w:p>
    <w:p w14:paraId="53668655" w14:textId="77777777" w:rsidR="001369BE" w:rsidRPr="00395E37" w:rsidRDefault="001369BE" w:rsidP="001369BE"/>
    <w:p w14:paraId="1F3C4B3D" w14:textId="77777777" w:rsidR="001369BE" w:rsidRPr="00395E37" w:rsidRDefault="001369BE" w:rsidP="001369BE">
      <w:r w:rsidRPr="00395E37">
        <w:t>Course Schedule</w:t>
      </w:r>
    </w:p>
    <w:p w14:paraId="671F2D43" w14:textId="77777777" w:rsidR="001369BE" w:rsidRPr="00395E37" w:rsidRDefault="001369BE" w:rsidP="001369BE">
      <w:pPr>
        <w:rPr>
          <w:b/>
        </w:rPr>
      </w:pPr>
      <w:r w:rsidRPr="00395E37">
        <w:rPr>
          <w:b/>
        </w:rPr>
        <w:t>Week 1: Introduction</w:t>
      </w:r>
    </w:p>
    <w:p w14:paraId="321855D5" w14:textId="6240D982" w:rsidR="001369BE" w:rsidRPr="00395E37" w:rsidRDefault="00117501" w:rsidP="001369BE">
      <w:pPr>
        <w:rPr>
          <w:b/>
        </w:rPr>
      </w:pPr>
      <w:r>
        <w:rPr>
          <w:b/>
        </w:rPr>
        <w:t>Thursday, January 18</w:t>
      </w:r>
    </w:p>
    <w:p w14:paraId="6AA194D5" w14:textId="77777777" w:rsidR="001369BE" w:rsidRPr="00395E37" w:rsidRDefault="001369BE" w:rsidP="001369BE">
      <w:r w:rsidRPr="00395E37">
        <w:t>--Introduction</w:t>
      </w:r>
    </w:p>
    <w:p w14:paraId="53D7A205" w14:textId="77777777" w:rsidR="001369BE" w:rsidRPr="00395E37" w:rsidRDefault="001369BE" w:rsidP="001369BE"/>
    <w:p w14:paraId="126F7036" w14:textId="77777777" w:rsidR="001369BE" w:rsidRPr="00395E37" w:rsidRDefault="001369BE" w:rsidP="001369BE">
      <w:pPr>
        <w:rPr>
          <w:b/>
        </w:rPr>
      </w:pPr>
      <w:r w:rsidRPr="00395E37">
        <w:rPr>
          <w:b/>
        </w:rPr>
        <w:t xml:space="preserve">Week 2: </w:t>
      </w:r>
      <w:r>
        <w:rPr>
          <w:b/>
        </w:rPr>
        <w:t>Sex</w:t>
      </w:r>
      <w:r w:rsidRPr="00395E37">
        <w:rPr>
          <w:b/>
        </w:rPr>
        <w:t xml:space="preserve"> </w:t>
      </w:r>
      <w:r>
        <w:rPr>
          <w:b/>
        </w:rPr>
        <w:t xml:space="preserve">and Gender </w:t>
      </w:r>
      <w:r w:rsidRPr="00395E37">
        <w:rPr>
          <w:b/>
        </w:rPr>
        <w:t xml:space="preserve">in the </w:t>
      </w:r>
      <w:r>
        <w:rPr>
          <w:b/>
        </w:rPr>
        <w:t xml:space="preserve">Colonies and </w:t>
      </w:r>
      <w:r w:rsidRPr="00395E37">
        <w:rPr>
          <w:b/>
        </w:rPr>
        <w:t>Early Republic</w:t>
      </w:r>
    </w:p>
    <w:p w14:paraId="58308BA7" w14:textId="2E88BFFA" w:rsidR="001369BE" w:rsidRPr="00395E37" w:rsidRDefault="00117501" w:rsidP="001369BE">
      <w:pPr>
        <w:rPr>
          <w:b/>
          <w:lang w:bidi="en-US"/>
        </w:rPr>
      </w:pPr>
      <w:r>
        <w:rPr>
          <w:b/>
          <w:lang w:bidi="en-US"/>
        </w:rPr>
        <w:t>Monday, January 22</w:t>
      </w:r>
    </w:p>
    <w:p w14:paraId="596A5CCF" w14:textId="77777777" w:rsidR="001369BE" w:rsidRPr="004805B1" w:rsidRDefault="001369BE" w:rsidP="001369BE">
      <w:r>
        <w:t>-</w:t>
      </w:r>
      <w:r w:rsidRPr="00395E37">
        <w:t xml:space="preserve">--Selection from William Bradford, </w:t>
      </w:r>
      <w:r w:rsidRPr="00395E37">
        <w:rPr>
          <w:i/>
        </w:rPr>
        <w:t>Of Plymouth Plantation, 1620-1647</w:t>
      </w:r>
      <w:r w:rsidRPr="00395E37">
        <w:t xml:space="preserve"> (New York: Knopf, 1952). Excerpt.  </w:t>
      </w:r>
    </w:p>
    <w:p w14:paraId="6077548D" w14:textId="77777777" w:rsidR="001369BE" w:rsidRPr="001047A1" w:rsidRDefault="001369BE" w:rsidP="001369BE">
      <w:r w:rsidRPr="001047A1">
        <w:t xml:space="preserve">--Mary Beth Norton, “Colonial Encounters in the Visible and Invisible Worlds: The Salem Witchcraft Crisis in the Context of the Maine Indian Wars,” in Hans-Jurgen Grabbe, ed., </w:t>
      </w:r>
      <w:r w:rsidRPr="00EE0B0D">
        <w:rPr>
          <w:i/>
        </w:rPr>
        <w:t>Colonial Encounters: Essays in Early American History and Culture</w:t>
      </w:r>
      <w:r w:rsidRPr="001047A1">
        <w:t>, 51-68.</w:t>
      </w:r>
    </w:p>
    <w:p w14:paraId="5CF39FE1" w14:textId="743DE599" w:rsidR="001369BE" w:rsidRPr="00395E37" w:rsidRDefault="00117501" w:rsidP="001369BE">
      <w:pPr>
        <w:rPr>
          <w:b/>
        </w:rPr>
      </w:pPr>
      <w:r>
        <w:rPr>
          <w:b/>
        </w:rPr>
        <w:t>Thursday January 25</w:t>
      </w:r>
    </w:p>
    <w:p w14:paraId="094961D8" w14:textId="77777777" w:rsidR="001369BE" w:rsidRPr="00FC29CB" w:rsidRDefault="001369BE" w:rsidP="001369BE">
      <w:pPr>
        <w:rPr>
          <w:lang w:bidi="en-US"/>
        </w:rPr>
      </w:pPr>
      <w:r w:rsidRPr="00395E37">
        <w:rPr>
          <w:b/>
          <w:lang w:bidi="en-US"/>
        </w:rPr>
        <w:t>--</w:t>
      </w:r>
      <w:r w:rsidRPr="00395E37">
        <w:rPr>
          <w:lang w:bidi="en-US"/>
        </w:rPr>
        <w:t xml:space="preserve">Cornelia Hughes Dayton, "Taking the Trade: Abortion and Gender Relations in an Eighteenth-Century New England Village," </w:t>
      </w:r>
      <w:r w:rsidRPr="00395E37">
        <w:rPr>
          <w:i/>
          <w:iCs/>
          <w:lang w:bidi="en-US"/>
        </w:rPr>
        <w:t>William and Mary Quarterly</w:t>
      </w:r>
      <w:r w:rsidRPr="00395E37">
        <w:rPr>
          <w:lang w:bidi="en-US"/>
        </w:rPr>
        <w:t>, 48 (Jan. 1991), 19-49.</w:t>
      </w:r>
    </w:p>
    <w:p w14:paraId="5F3B4C8C" w14:textId="77777777" w:rsidR="001369BE" w:rsidRPr="00395E37" w:rsidRDefault="001369BE" w:rsidP="001369BE"/>
    <w:p w14:paraId="00F46FBA" w14:textId="77777777" w:rsidR="001369BE" w:rsidRPr="00395E37" w:rsidRDefault="001369BE" w:rsidP="001369BE">
      <w:pPr>
        <w:rPr>
          <w:b/>
        </w:rPr>
      </w:pPr>
      <w:r w:rsidRPr="00395E37">
        <w:rPr>
          <w:b/>
        </w:rPr>
        <w:t xml:space="preserve">Week 3: </w:t>
      </w:r>
      <w:r>
        <w:rPr>
          <w:b/>
        </w:rPr>
        <w:t>Coverture</w:t>
      </w:r>
    </w:p>
    <w:p w14:paraId="3C6EF662" w14:textId="1BDC701E" w:rsidR="001369BE" w:rsidRPr="00395E37" w:rsidRDefault="00117501" w:rsidP="001369BE">
      <w:pPr>
        <w:rPr>
          <w:b/>
        </w:rPr>
      </w:pPr>
      <w:r>
        <w:rPr>
          <w:b/>
          <w:lang w:bidi="en-US"/>
        </w:rPr>
        <w:t>Monday, January 29</w:t>
      </w:r>
    </w:p>
    <w:p w14:paraId="07EECFD8" w14:textId="77777777" w:rsidR="001369BE" w:rsidRPr="00395E37" w:rsidRDefault="001369BE" w:rsidP="001369BE">
      <w:r w:rsidRPr="00C41AFD">
        <w:rPr>
          <w:b/>
        </w:rPr>
        <w:t>--</w:t>
      </w:r>
      <w:r w:rsidRPr="00C41AFD">
        <w:t xml:space="preserve">Linda Kerber, </w:t>
      </w:r>
      <w:r w:rsidRPr="00C41AFD">
        <w:rPr>
          <w:i/>
        </w:rPr>
        <w:t>No Constitutional Right to Be Ladies</w:t>
      </w:r>
      <w:r w:rsidRPr="00C41AFD">
        <w:t>, chapter 1.</w:t>
      </w:r>
      <w:r w:rsidRPr="00395E37">
        <w:t xml:space="preserve">  </w:t>
      </w:r>
    </w:p>
    <w:p w14:paraId="6FA83FEC" w14:textId="77777777" w:rsidR="001369BE" w:rsidRPr="00395E37" w:rsidRDefault="001369BE" w:rsidP="001369BE">
      <w:pPr>
        <w:rPr>
          <w:lang w:bidi="en-US"/>
        </w:rPr>
      </w:pPr>
      <w:r w:rsidRPr="00395E37">
        <w:rPr>
          <w:b/>
          <w:lang w:bidi="en-US"/>
        </w:rPr>
        <w:t>--</w:t>
      </w:r>
      <w:r w:rsidRPr="00395E37">
        <w:rPr>
          <w:lang w:bidi="en-US"/>
        </w:rPr>
        <w:t xml:space="preserve">William Blackstone, </w:t>
      </w:r>
      <w:r w:rsidRPr="00395E37">
        <w:rPr>
          <w:i/>
          <w:lang w:bidi="en-US"/>
        </w:rPr>
        <w:t>Commentaries on the Laws of England</w:t>
      </w:r>
      <w:r w:rsidRPr="00395E37">
        <w:rPr>
          <w:lang w:bidi="en-US"/>
        </w:rPr>
        <w:t xml:space="preserve">, Book the First, Chapter the Fifteenth: Of Husband and Wife.  </w:t>
      </w:r>
    </w:p>
    <w:p w14:paraId="24A93241" w14:textId="2DD4DFAD" w:rsidR="001369BE" w:rsidRPr="00395E37" w:rsidRDefault="00117501" w:rsidP="001369BE">
      <w:pPr>
        <w:rPr>
          <w:b/>
          <w:lang w:bidi="en-US"/>
        </w:rPr>
      </w:pPr>
      <w:r>
        <w:rPr>
          <w:b/>
          <w:lang w:bidi="en-US"/>
        </w:rPr>
        <w:t>Thursday, February 1</w:t>
      </w:r>
    </w:p>
    <w:p w14:paraId="09F9A249" w14:textId="77777777" w:rsidR="001369BE" w:rsidRPr="00395E37" w:rsidRDefault="001369BE" w:rsidP="001369BE">
      <w:pPr>
        <w:rPr>
          <w:lang w:bidi="en-US"/>
        </w:rPr>
      </w:pPr>
      <w:r w:rsidRPr="00395E37">
        <w:rPr>
          <w:b/>
          <w:lang w:bidi="en-US"/>
        </w:rPr>
        <w:t>--</w:t>
      </w:r>
      <w:r w:rsidRPr="00395E37">
        <w:rPr>
          <w:lang w:bidi="en-US"/>
        </w:rPr>
        <w:t xml:space="preserve">Hendrik Hartog, </w:t>
      </w:r>
      <w:r w:rsidRPr="00395E37">
        <w:rPr>
          <w:i/>
          <w:lang w:bidi="en-US"/>
        </w:rPr>
        <w:t>Man and Wife in America: A History</w:t>
      </w:r>
      <w:r w:rsidRPr="00395E37">
        <w:rPr>
          <w:lang w:bidi="en-US"/>
        </w:rPr>
        <w:t xml:space="preserve"> (Harvard University Press, 2000)</w:t>
      </w:r>
      <w:r w:rsidRPr="00395E37">
        <w:rPr>
          <w:i/>
          <w:lang w:bidi="en-US"/>
        </w:rPr>
        <w:t xml:space="preserve">, </w:t>
      </w:r>
      <w:r w:rsidRPr="00395E37">
        <w:rPr>
          <w:lang w:bidi="en-US"/>
        </w:rPr>
        <w:t xml:space="preserve">chapter 2.  </w:t>
      </w:r>
    </w:p>
    <w:p w14:paraId="48D3869D" w14:textId="77777777" w:rsidR="001369BE" w:rsidRPr="00395E37" w:rsidRDefault="001369BE" w:rsidP="001369BE">
      <w:pPr>
        <w:rPr>
          <w:lang w:bidi="en-US"/>
        </w:rPr>
      </w:pPr>
      <w:r w:rsidRPr="00395E37">
        <w:rPr>
          <w:b/>
          <w:lang w:bidi="en-US"/>
        </w:rPr>
        <w:t>--</w:t>
      </w:r>
      <w:r w:rsidRPr="00395E37">
        <w:rPr>
          <w:i/>
          <w:lang w:bidi="en-US"/>
        </w:rPr>
        <w:t>Chunn v. Chunn</w:t>
      </w:r>
      <w:r w:rsidRPr="00395E37">
        <w:rPr>
          <w:lang w:bidi="en-US"/>
        </w:rPr>
        <w:t xml:space="preserve"> </w:t>
      </w:r>
      <w:r>
        <w:rPr>
          <w:lang w:bidi="en-US"/>
        </w:rPr>
        <w:t>(1838)</w:t>
      </w:r>
      <w:r w:rsidRPr="00395E37">
        <w:rPr>
          <w:lang w:bidi="en-US"/>
        </w:rPr>
        <w:t xml:space="preserve"> </w:t>
      </w:r>
    </w:p>
    <w:p w14:paraId="75E0026F" w14:textId="77777777" w:rsidR="001369BE" w:rsidRDefault="001369BE" w:rsidP="001369BE">
      <w:pPr>
        <w:rPr>
          <w:b/>
        </w:rPr>
      </w:pPr>
    </w:p>
    <w:p w14:paraId="2DCA4E84" w14:textId="5B725DF2" w:rsidR="001369BE" w:rsidRPr="008D340E" w:rsidRDefault="001369BE" w:rsidP="001369BE">
      <w:pPr>
        <w:rPr>
          <w:lang w:bidi="en-US"/>
        </w:rPr>
      </w:pPr>
      <w:r>
        <w:rPr>
          <w:b/>
        </w:rPr>
        <w:t xml:space="preserve">Week 4: </w:t>
      </w:r>
      <w:r w:rsidR="00A84017">
        <w:rPr>
          <w:b/>
        </w:rPr>
        <w:t>Race</w:t>
      </w:r>
      <w:r>
        <w:rPr>
          <w:b/>
        </w:rPr>
        <w:t xml:space="preserve">, Sex, </w:t>
      </w:r>
      <w:r w:rsidRPr="00395E37">
        <w:rPr>
          <w:b/>
        </w:rPr>
        <w:t>and Gender</w:t>
      </w:r>
      <w:r w:rsidR="00A84017">
        <w:rPr>
          <w:b/>
        </w:rPr>
        <w:t xml:space="preserve"> in Antebellum America</w:t>
      </w:r>
    </w:p>
    <w:p w14:paraId="4532F0E6" w14:textId="3D508EAA" w:rsidR="001369BE" w:rsidRPr="00395E37" w:rsidRDefault="00117501" w:rsidP="001369BE">
      <w:pPr>
        <w:rPr>
          <w:b/>
        </w:rPr>
      </w:pPr>
      <w:r>
        <w:rPr>
          <w:b/>
        </w:rPr>
        <w:t>Monday, February 5</w:t>
      </w:r>
    </w:p>
    <w:p w14:paraId="4E508451" w14:textId="77777777" w:rsidR="001369BE" w:rsidRPr="0090668E" w:rsidRDefault="001369BE" w:rsidP="001369BE">
      <w:pPr>
        <w:autoSpaceDE w:val="0"/>
        <w:autoSpaceDN w:val="0"/>
        <w:adjustRightInd w:val="0"/>
        <w:rPr>
          <w:bCs/>
        </w:rPr>
      </w:pPr>
      <w:r w:rsidRPr="0090668E">
        <w:rPr>
          <w:bCs/>
        </w:rPr>
        <w:t xml:space="preserve">--Martha Hodes, </w:t>
      </w:r>
      <w:r w:rsidRPr="0090668E">
        <w:rPr>
          <w:bCs/>
          <w:i/>
        </w:rPr>
        <w:t>White Women, Black Men: Illicit Sex in the Nineteenth Century South</w:t>
      </w:r>
      <w:r w:rsidRPr="0090668E">
        <w:rPr>
          <w:bCs/>
        </w:rPr>
        <w:t xml:space="preserve">, chapter 4. </w:t>
      </w:r>
    </w:p>
    <w:p w14:paraId="01F0EC53" w14:textId="37496653" w:rsidR="001369BE" w:rsidRPr="00395E37" w:rsidRDefault="00117501" w:rsidP="001369BE">
      <w:pPr>
        <w:autoSpaceDE w:val="0"/>
        <w:autoSpaceDN w:val="0"/>
        <w:adjustRightInd w:val="0"/>
        <w:rPr>
          <w:b/>
          <w:bCs/>
        </w:rPr>
      </w:pPr>
      <w:r>
        <w:rPr>
          <w:b/>
          <w:bCs/>
        </w:rPr>
        <w:t>Thursday, February 8</w:t>
      </w:r>
    </w:p>
    <w:p w14:paraId="413E1D6B" w14:textId="77098F28" w:rsidR="00DD3124" w:rsidRPr="00DD3124" w:rsidRDefault="00DD3124" w:rsidP="00DD3124">
      <w:r w:rsidRPr="00DD3124">
        <w:t>--Guest speaker</w:t>
      </w:r>
    </w:p>
    <w:p w14:paraId="12A6D7EA" w14:textId="450AD50A" w:rsidR="001369BE" w:rsidRPr="00901F86" w:rsidRDefault="001369BE" w:rsidP="001369BE">
      <w:pPr>
        <w:autoSpaceDE w:val="0"/>
        <w:autoSpaceDN w:val="0"/>
        <w:adjustRightInd w:val="0"/>
        <w:rPr>
          <w:bCs/>
        </w:rPr>
      </w:pPr>
      <w:r w:rsidRPr="00901F86">
        <w:rPr>
          <w:bCs/>
        </w:rPr>
        <w:t>--</w:t>
      </w:r>
      <w:r w:rsidR="00901F86" w:rsidRPr="00901F86">
        <w:rPr>
          <w:bCs/>
        </w:rPr>
        <w:t xml:space="preserve">Clare Sears, “All that Glitters: Trans-ing California’s Gold Rush Migrations,” </w:t>
      </w:r>
      <w:r w:rsidR="00901F86" w:rsidRPr="00901F86">
        <w:rPr>
          <w:bCs/>
          <w:i/>
        </w:rPr>
        <w:t xml:space="preserve">GLQ: A Journal of Lesbian and Gay Studies </w:t>
      </w:r>
      <w:r w:rsidR="00901F86" w:rsidRPr="00901F86">
        <w:rPr>
          <w:bCs/>
        </w:rPr>
        <w:t xml:space="preserve">14(2008), 383-402. </w:t>
      </w:r>
      <w:r w:rsidRPr="00901F86">
        <w:rPr>
          <w:bCs/>
        </w:rPr>
        <w:t xml:space="preserve">  </w:t>
      </w:r>
    </w:p>
    <w:p w14:paraId="25B5E27C" w14:textId="77777777" w:rsidR="001369BE" w:rsidRPr="00395E37" w:rsidRDefault="001369BE" w:rsidP="001369BE">
      <w:pPr>
        <w:autoSpaceDE w:val="0"/>
        <w:autoSpaceDN w:val="0"/>
        <w:adjustRightInd w:val="0"/>
        <w:rPr>
          <w:bCs/>
        </w:rPr>
      </w:pPr>
      <w:r w:rsidRPr="00395E37">
        <w:rPr>
          <w:rFonts w:ascii="TimesNewRomanPSMT" w:hAnsi="TimesNewRomanPSMT" w:cs="TimesNewRomanPSMT"/>
          <w:lang w:bidi="en-US"/>
        </w:rPr>
        <w:t>SHORT PAPER DUE</w:t>
      </w:r>
    </w:p>
    <w:p w14:paraId="4DBE7B8C" w14:textId="77777777" w:rsidR="001369BE" w:rsidRPr="00395E37" w:rsidRDefault="001369BE" w:rsidP="001369BE"/>
    <w:p w14:paraId="1F969529" w14:textId="77777777" w:rsidR="001369BE" w:rsidRPr="00395E37" w:rsidRDefault="001369BE" w:rsidP="001369BE">
      <w:pPr>
        <w:rPr>
          <w:b/>
        </w:rPr>
      </w:pPr>
      <w:r w:rsidRPr="00395E37">
        <w:rPr>
          <w:b/>
        </w:rPr>
        <w:t>Week 5: Postbellum Challenges and the Gender Order</w:t>
      </w:r>
    </w:p>
    <w:p w14:paraId="6EE4FD90" w14:textId="65785058" w:rsidR="001369BE" w:rsidRPr="00395E37" w:rsidRDefault="00117501" w:rsidP="001369BE">
      <w:pPr>
        <w:rPr>
          <w:b/>
        </w:rPr>
      </w:pPr>
      <w:r>
        <w:rPr>
          <w:b/>
        </w:rPr>
        <w:t>Monday, February 12</w:t>
      </w:r>
    </w:p>
    <w:p w14:paraId="55CC5DE9" w14:textId="1C3B92CE" w:rsidR="00DD3124" w:rsidRPr="00DD3124" w:rsidRDefault="00DD3124" w:rsidP="001369BE">
      <w:r w:rsidRPr="00DD3124">
        <w:t>--Guest speaker</w:t>
      </w:r>
    </w:p>
    <w:p w14:paraId="197C9D8E" w14:textId="00136526" w:rsidR="001369BE" w:rsidRPr="00395E37" w:rsidRDefault="00117501" w:rsidP="001369BE">
      <w:pPr>
        <w:rPr>
          <w:b/>
        </w:rPr>
      </w:pPr>
      <w:r>
        <w:rPr>
          <w:b/>
        </w:rPr>
        <w:t>Thursday, February 15</w:t>
      </w:r>
    </w:p>
    <w:p w14:paraId="5CB50EDA" w14:textId="77777777" w:rsidR="001369BE" w:rsidRPr="00395E37" w:rsidRDefault="001369BE" w:rsidP="001369BE">
      <w:pPr>
        <w:rPr>
          <w:i/>
        </w:rPr>
      </w:pPr>
      <w:r w:rsidRPr="00395E37">
        <w:rPr>
          <w:i/>
        </w:rPr>
        <w:t>--Bradwell v. Illinois</w:t>
      </w:r>
    </w:p>
    <w:p w14:paraId="319C5742" w14:textId="77777777" w:rsidR="00DD3124" w:rsidRPr="00395E37" w:rsidRDefault="00DD3124" w:rsidP="00DD3124">
      <w:r w:rsidRPr="00395E37">
        <w:rPr>
          <w:i/>
        </w:rPr>
        <w:t>--Pace v. Alabama</w:t>
      </w:r>
      <w:r w:rsidRPr="00395E37">
        <w:t xml:space="preserve"> (1883)</w:t>
      </w:r>
    </w:p>
    <w:p w14:paraId="23801DB2" w14:textId="77777777" w:rsidR="001369BE" w:rsidRPr="00395E37" w:rsidRDefault="001369BE" w:rsidP="001369BE"/>
    <w:p w14:paraId="04FFED1D" w14:textId="77777777" w:rsidR="001369BE" w:rsidRPr="00395E37" w:rsidRDefault="001369BE" w:rsidP="001369BE">
      <w:pPr>
        <w:rPr>
          <w:b/>
        </w:rPr>
      </w:pPr>
      <w:r w:rsidRPr="00395E37">
        <w:rPr>
          <w:b/>
        </w:rPr>
        <w:t>Week 6: Protectionism</w:t>
      </w:r>
    </w:p>
    <w:p w14:paraId="693834E5" w14:textId="69DFBF30" w:rsidR="001369BE" w:rsidRPr="00395E37" w:rsidRDefault="00117501" w:rsidP="001369BE">
      <w:pPr>
        <w:rPr>
          <w:b/>
        </w:rPr>
      </w:pPr>
      <w:r>
        <w:rPr>
          <w:b/>
        </w:rPr>
        <w:t>Monday, February 19</w:t>
      </w:r>
    </w:p>
    <w:p w14:paraId="64C9840C" w14:textId="77777777" w:rsidR="001369BE" w:rsidRPr="00395E37" w:rsidRDefault="001369BE" w:rsidP="001369BE">
      <w:r w:rsidRPr="00395E37">
        <w:rPr>
          <w:b/>
        </w:rPr>
        <w:t>--</w:t>
      </w:r>
      <w:r w:rsidRPr="00395E37">
        <w:rPr>
          <w:i/>
        </w:rPr>
        <w:t>Muller v. Oregon</w:t>
      </w:r>
      <w:r w:rsidRPr="00395E37">
        <w:t xml:space="preserve"> </w:t>
      </w:r>
    </w:p>
    <w:p w14:paraId="46C22B7A" w14:textId="77777777" w:rsidR="00A84017" w:rsidRPr="00395E37" w:rsidRDefault="00A84017" w:rsidP="00A84017">
      <w:r w:rsidRPr="00395E37">
        <w:rPr>
          <w:b/>
        </w:rPr>
        <w:t>--</w:t>
      </w:r>
      <w:r w:rsidRPr="00395E37">
        <w:t>Susan Glaspell, “A Jury of Her Peers”</w:t>
      </w:r>
    </w:p>
    <w:p w14:paraId="21DBB7A6" w14:textId="3DEE5530" w:rsidR="001369BE" w:rsidRPr="00395E37" w:rsidRDefault="00117501" w:rsidP="001369BE">
      <w:pPr>
        <w:rPr>
          <w:b/>
        </w:rPr>
      </w:pPr>
      <w:r>
        <w:rPr>
          <w:b/>
        </w:rPr>
        <w:t>Thursday, February 22</w:t>
      </w:r>
    </w:p>
    <w:p w14:paraId="05211561" w14:textId="77777777" w:rsidR="009B0556" w:rsidRPr="00395E37" w:rsidRDefault="009B0556" w:rsidP="009B0556">
      <w:r w:rsidRPr="00395E37">
        <w:rPr>
          <w:b/>
        </w:rPr>
        <w:t>--</w:t>
      </w:r>
      <w:r w:rsidRPr="00395E37">
        <w:t xml:space="preserve">Linda Gordon, “Social Insurance and Public Assistance: Gender in American Welfare Thought,” </w:t>
      </w:r>
      <w:r w:rsidRPr="00395E37">
        <w:rPr>
          <w:i/>
        </w:rPr>
        <w:t>American Historical Review</w:t>
      </w:r>
      <w:r w:rsidRPr="00395E37">
        <w:t xml:space="preserve">, (Feb 1992).  </w:t>
      </w:r>
    </w:p>
    <w:p w14:paraId="1C1F3649" w14:textId="77777777" w:rsidR="001369BE" w:rsidRPr="00395E37" w:rsidRDefault="001369BE" w:rsidP="001369BE"/>
    <w:p w14:paraId="74725759" w14:textId="77777777" w:rsidR="001369BE" w:rsidRPr="00395E37" w:rsidRDefault="001369BE" w:rsidP="001369BE">
      <w:pPr>
        <w:rPr>
          <w:b/>
        </w:rPr>
      </w:pPr>
      <w:r w:rsidRPr="00395E37">
        <w:rPr>
          <w:b/>
        </w:rPr>
        <w:t xml:space="preserve">Week 7: Citizenship </w:t>
      </w:r>
    </w:p>
    <w:p w14:paraId="618DE073" w14:textId="6B75CADE" w:rsidR="001369BE" w:rsidRPr="00395E37" w:rsidRDefault="00117501" w:rsidP="001369BE">
      <w:pPr>
        <w:rPr>
          <w:b/>
        </w:rPr>
      </w:pPr>
      <w:r>
        <w:rPr>
          <w:b/>
        </w:rPr>
        <w:t>Monday, February 26</w:t>
      </w:r>
    </w:p>
    <w:p w14:paraId="1AE88401" w14:textId="77777777" w:rsidR="001369BE" w:rsidRPr="00395E37" w:rsidRDefault="001369BE" w:rsidP="001369BE">
      <w:r w:rsidRPr="00395E37">
        <w:rPr>
          <w:b/>
        </w:rPr>
        <w:t>--</w:t>
      </w:r>
      <w:r w:rsidRPr="00395E37">
        <w:t xml:space="preserve">Nancy Cott, </w:t>
      </w:r>
      <w:r w:rsidRPr="00395E37">
        <w:rPr>
          <w:i/>
        </w:rPr>
        <w:t>Public Vows: A History of Marriage and the Nation</w:t>
      </w:r>
      <w:r w:rsidRPr="00395E37">
        <w:t xml:space="preserve"> (Harvard University Press, 2006), chapter 6.  </w:t>
      </w:r>
    </w:p>
    <w:p w14:paraId="651CE73D" w14:textId="77777777" w:rsidR="001369BE" w:rsidRPr="00395E37" w:rsidRDefault="001369BE" w:rsidP="001369BE">
      <w:r w:rsidRPr="00395E37">
        <w:rPr>
          <w:b/>
        </w:rPr>
        <w:t>--</w:t>
      </w:r>
      <w:r w:rsidRPr="00395E37">
        <w:t xml:space="preserve">Canaday, </w:t>
      </w:r>
      <w:r w:rsidRPr="00395E37">
        <w:rPr>
          <w:i/>
        </w:rPr>
        <w:t>The Straight State</w:t>
      </w:r>
      <w:r w:rsidRPr="00395E37">
        <w:t xml:space="preserve">, chapter 1.  </w:t>
      </w:r>
    </w:p>
    <w:p w14:paraId="20DFF6F0" w14:textId="61E32B46" w:rsidR="001369BE" w:rsidRPr="00395E37" w:rsidRDefault="00117501" w:rsidP="001369BE">
      <w:pPr>
        <w:rPr>
          <w:b/>
        </w:rPr>
      </w:pPr>
      <w:r>
        <w:rPr>
          <w:b/>
        </w:rPr>
        <w:t>Thursday, March 1</w:t>
      </w:r>
    </w:p>
    <w:p w14:paraId="4B111E9E" w14:textId="77777777" w:rsidR="001369BE" w:rsidRPr="00395E37" w:rsidRDefault="001369BE" w:rsidP="001369BE">
      <w:r w:rsidRPr="00395E37">
        <w:t>MIDTERM</w:t>
      </w:r>
    </w:p>
    <w:p w14:paraId="6AD06D89" w14:textId="77777777" w:rsidR="001369BE" w:rsidRPr="00395E37" w:rsidRDefault="001369BE" w:rsidP="001369BE">
      <w:pPr>
        <w:rPr>
          <w:b/>
        </w:rPr>
      </w:pPr>
    </w:p>
    <w:p w14:paraId="59070E50" w14:textId="77777777" w:rsidR="001369BE" w:rsidRPr="00395E37" w:rsidRDefault="00801902" w:rsidP="001369BE">
      <w:pPr>
        <w:rPr>
          <w:b/>
        </w:rPr>
      </w:pPr>
      <w:r>
        <w:rPr>
          <w:b/>
        </w:rPr>
        <w:t>Week 8: The State, Regulation, and Gender</w:t>
      </w:r>
    </w:p>
    <w:p w14:paraId="7EBD027A" w14:textId="10BCE50F" w:rsidR="001369BE" w:rsidRPr="00395E37" w:rsidRDefault="00117501" w:rsidP="001369BE">
      <w:pPr>
        <w:rPr>
          <w:b/>
        </w:rPr>
      </w:pPr>
      <w:r>
        <w:rPr>
          <w:b/>
        </w:rPr>
        <w:t>Monday, March 5</w:t>
      </w:r>
    </w:p>
    <w:p w14:paraId="34150658" w14:textId="77777777" w:rsidR="00801902" w:rsidRPr="00D37457" w:rsidRDefault="00801902" w:rsidP="00801902">
      <w:pPr>
        <w:rPr>
          <w:rFonts w:ascii="Times" w:hAnsi="Times"/>
          <w:sz w:val="20"/>
          <w:szCs w:val="20"/>
        </w:rPr>
      </w:pPr>
      <w:r w:rsidRPr="00D37457">
        <w:rPr>
          <w:rFonts w:ascii="Times" w:hAnsi="Times"/>
          <w:sz w:val="26"/>
          <w:szCs w:val="26"/>
        </w:rPr>
        <w:t>--Sharra Vostral and Rayvon Fouché, “‘Selling’ Women: Lillian Gilbreth, Gender Translation, and Intellectual Property,” </w:t>
      </w:r>
      <w:r w:rsidRPr="00D37457">
        <w:rPr>
          <w:rFonts w:ascii="Times" w:hAnsi="Times"/>
          <w:i/>
          <w:iCs/>
          <w:sz w:val="26"/>
          <w:szCs w:val="26"/>
          <w:bdr w:val="none" w:sz="0" w:space="0" w:color="auto" w:frame="1"/>
        </w:rPr>
        <w:t>Journal of Gender, Social Policy and the Law</w:t>
      </w:r>
      <w:r w:rsidRPr="00D37457">
        <w:rPr>
          <w:rFonts w:ascii="Times" w:hAnsi="Times"/>
          <w:sz w:val="26"/>
          <w:szCs w:val="26"/>
        </w:rPr>
        <w:t> 19.3 (2011): 825-850.</w:t>
      </w:r>
    </w:p>
    <w:p w14:paraId="25A139E8" w14:textId="1F520596" w:rsidR="001369BE" w:rsidRPr="00395E37" w:rsidRDefault="00117501" w:rsidP="001369BE">
      <w:pPr>
        <w:rPr>
          <w:b/>
        </w:rPr>
      </w:pPr>
      <w:r>
        <w:rPr>
          <w:b/>
        </w:rPr>
        <w:t>Thursday, March 8</w:t>
      </w:r>
    </w:p>
    <w:p w14:paraId="35374E40" w14:textId="77777777" w:rsidR="001369BE" w:rsidRPr="00395E37" w:rsidRDefault="001369BE" w:rsidP="001369BE">
      <w:r w:rsidRPr="00395E37">
        <w:rPr>
          <w:b/>
        </w:rPr>
        <w:t>-</w:t>
      </w:r>
      <w:r>
        <w:rPr>
          <w:b/>
        </w:rPr>
        <w:t>-</w:t>
      </w:r>
      <w:r w:rsidRPr="00395E37">
        <w:t xml:space="preserve">Canaday, </w:t>
      </w:r>
      <w:r w:rsidRPr="00395E37">
        <w:rPr>
          <w:i/>
        </w:rPr>
        <w:t>The Straight State</w:t>
      </w:r>
      <w:r w:rsidRPr="00395E37">
        <w:t xml:space="preserve">, chapter 3.  </w:t>
      </w:r>
    </w:p>
    <w:p w14:paraId="25C1C657" w14:textId="77777777" w:rsidR="00801902" w:rsidRDefault="00801902" w:rsidP="00801902">
      <w:r w:rsidRPr="00395E37">
        <w:rPr>
          <w:b/>
        </w:rPr>
        <w:t>--</w:t>
      </w:r>
      <w:r w:rsidRPr="00395E37">
        <w:t xml:space="preserve">Andrea Tone, “Contraceptive Consumers: Gender and the Political Economy of Birth Control in the 1930s,” </w:t>
      </w:r>
      <w:r w:rsidRPr="00395E37">
        <w:rPr>
          <w:i/>
        </w:rPr>
        <w:t>Journal of Social History</w:t>
      </w:r>
      <w:r w:rsidRPr="00395E37">
        <w:t xml:space="preserve"> (Spring 1996), 485-506.  </w:t>
      </w:r>
    </w:p>
    <w:p w14:paraId="15E2D053" w14:textId="77777777" w:rsidR="001369BE" w:rsidRPr="00395E37" w:rsidRDefault="001369BE" w:rsidP="001369BE"/>
    <w:p w14:paraId="395EB607" w14:textId="77777777" w:rsidR="001369BE" w:rsidRPr="00395E37" w:rsidRDefault="001369BE" w:rsidP="001369BE">
      <w:r w:rsidRPr="00395E37">
        <w:t>SPRING BREAK</w:t>
      </w:r>
    </w:p>
    <w:p w14:paraId="0179F507" w14:textId="77777777" w:rsidR="001369BE" w:rsidRDefault="001369BE" w:rsidP="001369BE">
      <w:pPr>
        <w:rPr>
          <w:b/>
        </w:rPr>
      </w:pPr>
    </w:p>
    <w:p w14:paraId="3EB9AFC9" w14:textId="77777777" w:rsidR="001369BE" w:rsidRDefault="001369BE" w:rsidP="001369BE">
      <w:pPr>
        <w:rPr>
          <w:b/>
        </w:rPr>
      </w:pPr>
      <w:r w:rsidRPr="00395E37">
        <w:rPr>
          <w:b/>
        </w:rPr>
        <w:t xml:space="preserve">Week 9: </w:t>
      </w:r>
      <w:r>
        <w:rPr>
          <w:b/>
        </w:rPr>
        <w:t>Sex, Gender, and Warfare</w:t>
      </w:r>
    </w:p>
    <w:p w14:paraId="74998C3B" w14:textId="124504AC" w:rsidR="001369BE" w:rsidRPr="00395E37" w:rsidRDefault="00117501" w:rsidP="001369BE">
      <w:pPr>
        <w:rPr>
          <w:b/>
        </w:rPr>
      </w:pPr>
      <w:r>
        <w:rPr>
          <w:b/>
        </w:rPr>
        <w:t>Monday, March 19</w:t>
      </w:r>
    </w:p>
    <w:p w14:paraId="41A5B369" w14:textId="77777777" w:rsidR="001369BE" w:rsidRDefault="001369BE" w:rsidP="001369BE">
      <w:r w:rsidRPr="00395E37">
        <w:rPr>
          <w:b/>
        </w:rPr>
        <w:t>--</w:t>
      </w:r>
      <w:r w:rsidRPr="00395E37">
        <w:t xml:space="preserve">Canaday, </w:t>
      </w:r>
      <w:r w:rsidRPr="00395E37">
        <w:rPr>
          <w:i/>
        </w:rPr>
        <w:t>The Straight State</w:t>
      </w:r>
      <w:r>
        <w:t>, chapter 4</w:t>
      </w:r>
      <w:r w:rsidRPr="00395E37">
        <w:t xml:space="preserve">.  </w:t>
      </w:r>
    </w:p>
    <w:p w14:paraId="0CE0A647" w14:textId="77777777" w:rsidR="001369BE" w:rsidRPr="00395E37" w:rsidRDefault="001369BE" w:rsidP="001369BE">
      <w:r w:rsidRPr="002B174D">
        <w:t xml:space="preserve">--Fisher, </w:t>
      </w:r>
      <w:r w:rsidRPr="002B174D">
        <w:rPr>
          <w:i/>
        </w:rPr>
        <w:t>Wives and War</w:t>
      </w:r>
      <w:r w:rsidRPr="002B174D">
        <w:t>, excerpt</w:t>
      </w:r>
      <w:bookmarkStart w:id="0" w:name="_GoBack"/>
      <w:bookmarkEnd w:id="0"/>
    </w:p>
    <w:p w14:paraId="2157B12F" w14:textId="753A7410" w:rsidR="001369BE" w:rsidRPr="00395E37" w:rsidRDefault="00117501" w:rsidP="001369BE">
      <w:pPr>
        <w:rPr>
          <w:b/>
        </w:rPr>
      </w:pPr>
      <w:r>
        <w:rPr>
          <w:b/>
        </w:rPr>
        <w:t>Thursday, March 22</w:t>
      </w:r>
    </w:p>
    <w:p w14:paraId="3C35252D" w14:textId="77777777" w:rsidR="001369BE" w:rsidRDefault="001369BE" w:rsidP="001369BE">
      <w:pPr>
        <w:rPr>
          <w:b/>
        </w:rPr>
      </w:pPr>
      <w:r w:rsidRPr="00395E37">
        <w:rPr>
          <w:b/>
        </w:rPr>
        <w:t>--</w:t>
      </w:r>
      <w:r w:rsidRPr="00395E37">
        <w:t xml:space="preserve">Canaday, </w:t>
      </w:r>
      <w:r w:rsidRPr="00395E37">
        <w:rPr>
          <w:i/>
        </w:rPr>
        <w:t>The Straight State</w:t>
      </w:r>
      <w:r>
        <w:t xml:space="preserve">, chapters </w:t>
      </w:r>
      <w:r w:rsidRPr="00395E37">
        <w:t>5</w:t>
      </w:r>
    </w:p>
    <w:p w14:paraId="5DE005AA" w14:textId="77777777" w:rsidR="009B0556" w:rsidRPr="00395E37" w:rsidRDefault="009B0556" w:rsidP="009B0556">
      <w:pPr>
        <w:rPr>
          <w:i/>
        </w:rPr>
      </w:pPr>
      <w:r w:rsidRPr="00395E37">
        <w:rPr>
          <w:i/>
        </w:rPr>
        <w:t>--Goesaert v. Cleary</w:t>
      </w:r>
    </w:p>
    <w:p w14:paraId="76462E2F" w14:textId="77777777" w:rsidR="009B0556" w:rsidRDefault="009B0556" w:rsidP="001369BE">
      <w:pPr>
        <w:rPr>
          <w:b/>
        </w:rPr>
      </w:pPr>
    </w:p>
    <w:p w14:paraId="7D66C2B2" w14:textId="77777777" w:rsidR="001369BE" w:rsidRPr="00395E37" w:rsidRDefault="001369BE" w:rsidP="001369BE">
      <w:pPr>
        <w:rPr>
          <w:b/>
        </w:rPr>
      </w:pPr>
      <w:r>
        <w:rPr>
          <w:b/>
        </w:rPr>
        <w:t xml:space="preserve">Week 10: </w:t>
      </w:r>
      <w:r w:rsidRPr="00395E37">
        <w:rPr>
          <w:b/>
        </w:rPr>
        <w:t>Sex across the Color Line</w:t>
      </w:r>
    </w:p>
    <w:p w14:paraId="6A483028" w14:textId="7735CE7D" w:rsidR="001369BE" w:rsidRPr="00395E37" w:rsidRDefault="00117501" w:rsidP="001369BE">
      <w:pPr>
        <w:rPr>
          <w:b/>
        </w:rPr>
      </w:pPr>
      <w:r>
        <w:rPr>
          <w:b/>
        </w:rPr>
        <w:t>Monday, March 26</w:t>
      </w:r>
    </w:p>
    <w:p w14:paraId="6E6C545B" w14:textId="77777777" w:rsidR="001369BE" w:rsidRPr="007345EE" w:rsidRDefault="001369BE" w:rsidP="001369BE">
      <w:r w:rsidRPr="00395E37">
        <w:rPr>
          <w:b/>
        </w:rPr>
        <w:t>--</w:t>
      </w:r>
      <w:r w:rsidRPr="00395E37">
        <w:t xml:space="preserve">Mae Ngai, </w:t>
      </w:r>
      <w:r w:rsidRPr="00395E37">
        <w:rPr>
          <w:i/>
        </w:rPr>
        <w:t>Impossible Subjects: Illegal Aliens and the Making of Modern America</w:t>
      </w:r>
      <w:r w:rsidRPr="00395E37">
        <w:t xml:space="preserve"> (Princeton University Press, 2005), chapter 3.  </w:t>
      </w:r>
    </w:p>
    <w:p w14:paraId="4CED217E" w14:textId="3129558B" w:rsidR="001369BE" w:rsidRPr="00395E37" w:rsidRDefault="00117501" w:rsidP="001369BE">
      <w:pPr>
        <w:rPr>
          <w:b/>
        </w:rPr>
      </w:pPr>
      <w:r>
        <w:rPr>
          <w:b/>
        </w:rPr>
        <w:t>Thursday, March 29</w:t>
      </w:r>
    </w:p>
    <w:p w14:paraId="402AB11F" w14:textId="77777777" w:rsidR="001369BE" w:rsidRPr="00395E37" w:rsidRDefault="001369BE" w:rsidP="001369BE">
      <w:r w:rsidRPr="00395E37">
        <w:rPr>
          <w:b/>
        </w:rPr>
        <w:t>--</w:t>
      </w:r>
      <w:r w:rsidRPr="00395E37">
        <w:t xml:space="preserve">Peggy Pascoe, “Miscegenation Law, Court Cases, and Ideologies of ‘Race’ in Twentieth-Century America,” </w:t>
      </w:r>
      <w:r w:rsidRPr="00395E37">
        <w:rPr>
          <w:i/>
        </w:rPr>
        <w:t>The Journal of American History</w:t>
      </w:r>
      <w:r w:rsidRPr="00395E37">
        <w:t xml:space="preserve"> (June 1996), 44-69. </w:t>
      </w:r>
    </w:p>
    <w:p w14:paraId="40D9BDA4" w14:textId="77777777" w:rsidR="001369BE" w:rsidRPr="00395E37" w:rsidRDefault="001369BE" w:rsidP="001369BE">
      <w:pPr>
        <w:rPr>
          <w:i/>
        </w:rPr>
      </w:pPr>
      <w:r w:rsidRPr="00395E37">
        <w:rPr>
          <w:i/>
        </w:rPr>
        <w:t>--Loving v. Virginia</w:t>
      </w:r>
    </w:p>
    <w:p w14:paraId="7C4D0C13" w14:textId="77777777" w:rsidR="001369BE" w:rsidRDefault="001369BE" w:rsidP="001369BE">
      <w:pPr>
        <w:widowControl w:val="0"/>
        <w:autoSpaceDE w:val="0"/>
        <w:autoSpaceDN w:val="0"/>
        <w:adjustRightInd w:val="0"/>
        <w:rPr>
          <w:b/>
          <w:lang w:bidi="en-US"/>
        </w:rPr>
      </w:pPr>
    </w:p>
    <w:p w14:paraId="32D52A64" w14:textId="77777777" w:rsidR="001369BE" w:rsidRPr="00395E37" w:rsidRDefault="001369BE" w:rsidP="001369BE">
      <w:pPr>
        <w:widowControl w:val="0"/>
        <w:autoSpaceDE w:val="0"/>
        <w:autoSpaceDN w:val="0"/>
        <w:adjustRightInd w:val="0"/>
        <w:rPr>
          <w:b/>
          <w:lang w:bidi="en-US"/>
        </w:rPr>
      </w:pPr>
      <w:r>
        <w:rPr>
          <w:b/>
          <w:lang w:bidi="en-US"/>
        </w:rPr>
        <w:t>Week 11</w:t>
      </w:r>
      <w:r w:rsidRPr="00395E37">
        <w:rPr>
          <w:b/>
          <w:lang w:bidi="en-US"/>
        </w:rPr>
        <w:t xml:space="preserve">: The </w:t>
      </w:r>
      <w:r>
        <w:rPr>
          <w:b/>
          <w:lang w:bidi="en-US"/>
        </w:rPr>
        <w:t>Intersection of Gender and Race in the 20</w:t>
      </w:r>
      <w:r w:rsidRPr="00AC6F45">
        <w:rPr>
          <w:b/>
          <w:vertAlign w:val="superscript"/>
          <w:lang w:bidi="en-US"/>
        </w:rPr>
        <w:t>th</w:t>
      </w:r>
      <w:r>
        <w:rPr>
          <w:b/>
          <w:lang w:bidi="en-US"/>
        </w:rPr>
        <w:t xml:space="preserve"> Century</w:t>
      </w:r>
    </w:p>
    <w:p w14:paraId="36C810FA" w14:textId="7BD7E502" w:rsidR="001369BE" w:rsidRPr="00395E37" w:rsidRDefault="00117501" w:rsidP="001369BE">
      <w:pPr>
        <w:rPr>
          <w:b/>
        </w:rPr>
      </w:pPr>
      <w:r>
        <w:rPr>
          <w:b/>
        </w:rPr>
        <w:t>Monday, April 2</w:t>
      </w:r>
    </w:p>
    <w:p w14:paraId="344007B6" w14:textId="77777777" w:rsidR="001369BE" w:rsidRDefault="001369BE" w:rsidP="001369BE">
      <w:pPr>
        <w:rPr>
          <w:lang w:bidi="en-US"/>
        </w:rPr>
      </w:pPr>
      <w:r>
        <w:rPr>
          <w:lang w:bidi="en-US"/>
        </w:rPr>
        <w:t xml:space="preserve">--Danielle McGuire, “’It Was like All of Us Had Been Raped’: Sexual Violence, Community Organization, and the African American Freedom Struggle,” </w:t>
      </w:r>
      <w:r w:rsidRPr="006225A6">
        <w:rPr>
          <w:i/>
          <w:lang w:bidi="en-US"/>
        </w:rPr>
        <w:t>Journal of American History</w:t>
      </w:r>
      <w:r>
        <w:rPr>
          <w:lang w:bidi="en-US"/>
        </w:rPr>
        <w:t xml:space="preserve"> (December 2004): 906-931. </w:t>
      </w:r>
    </w:p>
    <w:p w14:paraId="17749022" w14:textId="77777777" w:rsidR="00272EBD" w:rsidRPr="001F15E1" w:rsidRDefault="00272EBD" w:rsidP="00272EBD">
      <w:r>
        <w:t>--Johnnie Tillmon, “Welfare Is a Woman’s Issue”</w:t>
      </w:r>
    </w:p>
    <w:p w14:paraId="6DCA38F9" w14:textId="64C9BAA8" w:rsidR="001369BE" w:rsidRDefault="00117501" w:rsidP="001369BE">
      <w:pPr>
        <w:rPr>
          <w:b/>
        </w:rPr>
      </w:pPr>
      <w:r>
        <w:rPr>
          <w:b/>
        </w:rPr>
        <w:t>Thursday, April 5</w:t>
      </w:r>
    </w:p>
    <w:p w14:paraId="01F89362" w14:textId="77777777" w:rsidR="00272EBD" w:rsidRPr="00272EBD" w:rsidRDefault="00272EBD" w:rsidP="001369BE">
      <w:r w:rsidRPr="00272EBD">
        <w:t xml:space="preserve">--Timothy Stewart-Winter, “Queer Law and Order: Sex, Criminality, and Policing in the Late Twentieth-Century United States,” </w:t>
      </w:r>
      <w:r w:rsidRPr="00272EBD">
        <w:rPr>
          <w:i/>
        </w:rPr>
        <w:t>Journal of American History</w:t>
      </w:r>
      <w:r w:rsidRPr="00272EBD">
        <w:t xml:space="preserve"> (June 2015), 61-72. </w:t>
      </w:r>
    </w:p>
    <w:p w14:paraId="383AD1DF" w14:textId="77777777" w:rsidR="001369BE" w:rsidRPr="00DD281D" w:rsidRDefault="001369BE" w:rsidP="001369BE">
      <w:r w:rsidRPr="00A553F5">
        <w:t>--Robin Tolmach Lakoff, “Sexual Harassment on Trial: The Anita Hill/Clarence Thomas Narrative(s),” in Women’s America: Refocusing the Past, Kerber, ed. (2004) 670-676.</w:t>
      </w:r>
    </w:p>
    <w:p w14:paraId="4392257D" w14:textId="77777777" w:rsidR="001369BE" w:rsidRPr="00395E37" w:rsidRDefault="001369BE" w:rsidP="001369BE"/>
    <w:p w14:paraId="58B51635" w14:textId="77777777" w:rsidR="001369BE" w:rsidRPr="00395E37" w:rsidRDefault="001369BE" w:rsidP="001369BE">
      <w:pPr>
        <w:rPr>
          <w:b/>
        </w:rPr>
      </w:pPr>
      <w:r>
        <w:rPr>
          <w:b/>
        </w:rPr>
        <w:t>Week 12</w:t>
      </w:r>
      <w:r w:rsidRPr="00395E37">
        <w:rPr>
          <w:b/>
        </w:rPr>
        <w:t>: Undoing Gendered Roles</w:t>
      </w:r>
    </w:p>
    <w:p w14:paraId="3621DB60" w14:textId="753E01AB" w:rsidR="001369BE" w:rsidRPr="00395E37" w:rsidRDefault="00117501" w:rsidP="001369BE">
      <w:pPr>
        <w:rPr>
          <w:b/>
        </w:rPr>
      </w:pPr>
      <w:r>
        <w:rPr>
          <w:b/>
        </w:rPr>
        <w:t>Monday, April 9</w:t>
      </w:r>
    </w:p>
    <w:p w14:paraId="4BE9CFD6" w14:textId="77777777" w:rsidR="001369BE" w:rsidRPr="00395E37" w:rsidRDefault="001369BE" w:rsidP="001369BE">
      <w:r w:rsidRPr="00395E37">
        <w:rPr>
          <w:b/>
        </w:rPr>
        <w:t>--</w:t>
      </w:r>
      <w:r w:rsidRPr="00395E37">
        <w:t xml:space="preserve">Serena Mayeri, </w:t>
      </w:r>
      <w:r w:rsidRPr="00395E37">
        <w:rPr>
          <w:i/>
        </w:rPr>
        <w:t>Reasoning from Race</w:t>
      </w:r>
      <w:r w:rsidRPr="00395E37">
        <w:t>, chapter 1.</w:t>
      </w:r>
    </w:p>
    <w:p w14:paraId="63D7160A" w14:textId="77777777" w:rsidR="00801902" w:rsidRPr="00395E37" w:rsidRDefault="00801902" w:rsidP="00801902">
      <w:pPr>
        <w:rPr>
          <w:i/>
        </w:rPr>
      </w:pPr>
      <w:r w:rsidRPr="00395E37">
        <w:rPr>
          <w:i/>
        </w:rPr>
        <w:t>--Reed v. Reed</w:t>
      </w:r>
    </w:p>
    <w:p w14:paraId="4D755A8B" w14:textId="486F7DC3" w:rsidR="001369BE" w:rsidRPr="00431F3A" w:rsidRDefault="00117501" w:rsidP="001369BE">
      <w:pPr>
        <w:rPr>
          <w:b/>
        </w:rPr>
      </w:pPr>
      <w:r>
        <w:rPr>
          <w:b/>
        </w:rPr>
        <w:t>Thursday, April 12</w:t>
      </w:r>
    </w:p>
    <w:p w14:paraId="2A1F6954" w14:textId="77777777" w:rsidR="001369BE" w:rsidRPr="00427D4F" w:rsidRDefault="001369BE" w:rsidP="001369BE">
      <w:pPr>
        <w:shd w:val="clear" w:color="auto" w:fill="FFFFFF"/>
        <w:ind w:right="150"/>
        <w:textAlignment w:val="baseline"/>
        <w:rPr>
          <w:color w:val="404040"/>
        </w:rPr>
      </w:pPr>
      <w:r w:rsidRPr="00427D4F">
        <w:t xml:space="preserve">--Katherine Turk, </w:t>
      </w:r>
      <w:r w:rsidRPr="00427D4F">
        <w:rPr>
          <w:color w:val="404040"/>
        </w:rPr>
        <w:t>“Out of the Revolution, Into the Mainstream: Employment Activism in the NOW Sears Campaign and the Growing Pains of Liberal Feminism,” </w:t>
      </w:r>
      <w:r w:rsidRPr="00427D4F">
        <w:rPr>
          <w:i/>
          <w:iCs/>
          <w:color w:val="404040"/>
          <w:bdr w:val="none" w:sz="0" w:space="0" w:color="auto" w:frame="1"/>
        </w:rPr>
        <w:t>Journal of American History </w:t>
      </w:r>
      <w:r w:rsidRPr="00427D4F">
        <w:rPr>
          <w:color w:val="404040"/>
        </w:rPr>
        <w:t>97 (September 2010): 399-423</w:t>
      </w:r>
    </w:p>
    <w:p w14:paraId="12188566" w14:textId="77777777" w:rsidR="001369BE" w:rsidRDefault="001369BE" w:rsidP="001369BE">
      <w:pPr>
        <w:rPr>
          <w:b/>
        </w:rPr>
      </w:pPr>
    </w:p>
    <w:p w14:paraId="51C25147" w14:textId="77777777" w:rsidR="001369BE" w:rsidRPr="00395E37" w:rsidRDefault="001369BE" w:rsidP="001369BE">
      <w:pPr>
        <w:rPr>
          <w:b/>
        </w:rPr>
      </w:pPr>
      <w:r>
        <w:rPr>
          <w:b/>
        </w:rPr>
        <w:t>Week 13</w:t>
      </w:r>
      <w:r w:rsidRPr="00395E37">
        <w:rPr>
          <w:b/>
        </w:rPr>
        <w:t xml:space="preserve">: </w:t>
      </w:r>
      <w:r>
        <w:rPr>
          <w:b/>
        </w:rPr>
        <w:t>Bodies and Law</w:t>
      </w:r>
    </w:p>
    <w:p w14:paraId="26B4E59D" w14:textId="2AB9AAB4" w:rsidR="001369BE" w:rsidRPr="00395E37" w:rsidRDefault="00117501" w:rsidP="001369BE">
      <w:pPr>
        <w:rPr>
          <w:b/>
        </w:rPr>
      </w:pPr>
      <w:r>
        <w:rPr>
          <w:b/>
        </w:rPr>
        <w:t>Monday, April 16</w:t>
      </w:r>
    </w:p>
    <w:p w14:paraId="04D98331" w14:textId="309F2D17" w:rsidR="001369BE" w:rsidRDefault="00C2657F" w:rsidP="001369BE">
      <w:pPr>
        <w:rPr>
          <w:b/>
        </w:rPr>
      </w:pPr>
      <w:r>
        <w:t xml:space="preserve">--Leslie J. Reagan, “Rashes, Rights and Wrongs in the Hospital and in the Courtroom: German Measles, Abortion, and Malpractice before Roe and Doe,” Law and History Review 27 (2009), </w:t>
      </w:r>
      <w:r w:rsidR="007761E2">
        <w:t>241-280.</w:t>
      </w:r>
      <w:r w:rsidR="001369BE" w:rsidRPr="00395E37">
        <w:rPr>
          <w:b/>
        </w:rPr>
        <w:t xml:space="preserve"> </w:t>
      </w:r>
    </w:p>
    <w:p w14:paraId="278AA966" w14:textId="527EB444" w:rsidR="001369BE" w:rsidRPr="00395E37" w:rsidRDefault="001369BE" w:rsidP="001369BE">
      <w:pPr>
        <w:rPr>
          <w:b/>
          <w:lang w:bidi="en-US"/>
        </w:rPr>
      </w:pPr>
      <w:r w:rsidRPr="00395E37">
        <w:rPr>
          <w:b/>
          <w:lang w:bidi="en-US"/>
        </w:rPr>
        <w:t>Thurs</w:t>
      </w:r>
      <w:r w:rsidR="00117501">
        <w:rPr>
          <w:b/>
          <w:lang w:bidi="en-US"/>
        </w:rPr>
        <w:t>day, April 19</w:t>
      </w:r>
    </w:p>
    <w:p w14:paraId="0D91632F" w14:textId="77777777" w:rsidR="00801902" w:rsidRPr="00395E37" w:rsidRDefault="00801902" w:rsidP="00801902">
      <w:pPr>
        <w:widowControl w:val="0"/>
        <w:autoSpaceDE w:val="0"/>
        <w:autoSpaceDN w:val="0"/>
        <w:adjustRightInd w:val="0"/>
        <w:rPr>
          <w:lang w:bidi="en-US"/>
        </w:rPr>
      </w:pPr>
      <w:r w:rsidRPr="00395E37">
        <w:rPr>
          <w:i/>
          <w:iCs/>
          <w:lang w:bidi="en-US"/>
        </w:rPr>
        <w:t>--Roe v. Wade</w:t>
      </w:r>
    </w:p>
    <w:p w14:paraId="1D96AD3C" w14:textId="77777777" w:rsidR="001369BE" w:rsidRPr="006225A6" w:rsidRDefault="001369BE" w:rsidP="001369BE">
      <w:r w:rsidRPr="006225A6">
        <w:t>--Sexing History</w:t>
      </w:r>
      <w:r>
        <w:t>, “I Must Increase My Bust,” episode 3</w:t>
      </w:r>
    </w:p>
    <w:p w14:paraId="3880A240" w14:textId="77777777" w:rsidR="001369BE" w:rsidRPr="00395E37" w:rsidRDefault="001369BE" w:rsidP="001369BE"/>
    <w:p w14:paraId="39DD47B8" w14:textId="77777777" w:rsidR="001369BE" w:rsidRPr="00395E37" w:rsidRDefault="001369BE" w:rsidP="001369BE">
      <w:pPr>
        <w:rPr>
          <w:b/>
        </w:rPr>
      </w:pPr>
      <w:r>
        <w:rPr>
          <w:b/>
        </w:rPr>
        <w:t>Week 14</w:t>
      </w:r>
      <w:r w:rsidRPr="00395E37">
        <w:rPr>
          <w:b/>
        </w:rPr>
        <w:t>: The Intersection of Gender and Sexuality</w:t>
      </w:r>
    </w:p>
    <w:p w14:paraId="61D66ED7" w14:textId="7A671BA6" w:rsidR="00117501" w:rsidRDefault="00117501" w:rsidP="001369BE">
      <w:pPr>
        <w:rPr>
          <w:b/>
        </w:rPr>
      </w:pPr>
      <w:r>
        <w:rPr>
          <w:b/>
        </w:rPr>
        <w:t>Monday, April 23</w:t>
      </w:r>
    </w:p>
    <w:p w14:paraId="791528D8" w14:textId="77777777" w:rsidR="001369BE" w:rsidRDefault="001369BE" w:rsidP="001369BE">
      <w:r w:rsidRPr="00395E37">
        <w:rPr>
          <w:b/>
        </w:rPr>
        <w:t>--</w:t>
      </w:r>
      <w:r w:rsidRPr="00395E37">
        <w:t xml:space="preserve">Canaday, </w:t>
      </w:r>
      <w:r w:rsidRPr="00395E37">
        <w:rPr>
          <w:i/>
        </w:rPr>
        <w:t>The Straight State</w:t>
      </w:r>
      <w:r>
        <w:t>, chapters 6</w:t>
      </w:r>
      <w:r w:rsidRPr="00395E37">
        <w:t xml:space="preserve">.  </w:t>
      </w:r>
    </w:p>
    <w:p w14:paraId="79437F16" w14:textId="77777777" w:rsidR="00134E6C" w:rsidRPr="00134E6C" w:rsidRDefault="00134E6C" w:rsidP="00134E6C">
      <w:pPr>
        <w:rPr>
          <w:b/>
        </w:rPr>
      </w:pPr>
      <w:r w:rsidRPr="00134E6C">
        <w:rPr>
          <w:b/>
        </w:rPr>
        <w:t>HONORS BLOG ENTRY DUE</w:t>
      </w:r>
    </w:p>
    <w:p w14:paraId="609C9E92" w14:textId="737C3D33" w:rsidR="00117501" w:rsidRPr="00117501" w:rsidRDefault="00117501" w:rsidP="001369BE">
      <w:pPr>
        <w:rPr>
          <w:b/>
        </w:rPr>
      </w:pPr>
      <w:r w:rsidRPr="00117501">
        <w:rPr>
          <w:b/>
        </w:rPr>
        <w:t>Thursday, April 26</w:t>
      </w:r>
    </w:p>
    <w:p w14:paraId="3BCCDFDA" w14:textId="77777777" w:rsidR="00272EBD" w:rsidRPr="00395E37" w:rsidRDefault="00272EBD" w:rsidP="00272EBD">
      <w:pPr>
        <w:rPr>
          <w:lang w:bidi="en-US"/>
        </w:rPr>
      </w:pPr>
      <w:r w:rsidRPr="00395E37">
        <w:rPr>
          <w:b/>
          <w:lang w:bidi="en-US"/>
        </w:rPr>
        <w:t>--</w:t>
      </w:r>
      <w:r w:rsidRPr="00395E37">
        <w:rPr>
          <w:lang w:bidi="en-US"/>
        </w:rPr>
        <w:t xml:space="preserve">Peggy Pascoe, “Sex, Gender, and Same-Sex Marriage,” in The Social Justice Group at the Center for Advanced Feminist Studies, University of Minnesota, ed., </w:t>
      </w:r>
      <w:r w:rsidRPr="00395E37">
        <w:rPr>
          <w:i/>
          <w:lang w:bidi="en-US"/>
        </w:rPr>
        <w:t>Is Academic Feminism Dead?: Theory in Practice</w:t>
      </w:r>
      <w:r w:rsidRPr="00395E37">
        <w:rPr>
          <w:lang w:bidi="en-US"/>
        </w:rPr>
        <w:t xml:space="preserve"> (New York: New York University Press, 2000), 86-129.  </w:t>
      </w:r>
    </w:p>
    <w:p w14:paraId="534F01DF" w14:textId="77777777" w:rsidR="001369BE" w:rsidRPr="00395E37" w:rsidRDefault="001369BE" w:rsidP="001369BE">
      <w:pPr>
        <w:rPr>
          <w:b/>
          <w:u w:val="single"/>
        </w:rPr>
      </w:pPr>
    </w:p>
    <w:p w14:paraId="19079A83" w14:textId="156B14A5" w:rsidR="001369BE" w:rsidRPr="00452925" w:rsidRDefault="00117501" w:rsidP="001369BE">
      <w:pPr>
        <w:rPr>
          <w:b/>
        </w:rPr>
      </w:pPr>
      <w:r w:rsidRPr="00452925">
        <w:rPr>
          <w:b/>
        </w:rPr>
        <w:t>Week 15: Contemporary Issues</w:t>
      </w:r>
    </w:p>
    <w:p w14:paraId="6A1413E4" w14:textId="62CB96B0" w:rsidR="00452925" w:rsidRPr="00452925" w:rsidRDefault="00452925" w:rsidP="001369BE">
      <w:pPr>
        <w:rPr>
          <w:b/>
        </w:rPr>
      </w:pPr>
      <w:r w:rsidRPr="00452925">
        <w:rPr>
          <w:b/>
        </w:rPr>
        <w:t xml:space="preserve">Monday, </w:t>
      </w:r>
      <w:r w:rsidR="00386F16">
        <w:rPr>
          <w:b/>
        </w:rPr>
        <w:t>April 30</w:t>
      </w:r>
    </w:p>
    <w:p w14:paraId="0044B887" w14:textId="29D6B74B" w:rsidR="00117501" w:rsidRDefault="00452925" w:rsidP="001369BE">
      <w:r>
        <w:t>--</w:t>
      </w:r>
      <w:r w:rsidR="0003527F">
        <w:t xml:space="preserve">Julio Capo, “Why a Forgotten KKK Raid on a Gay Club in Miami Still Matters 80 Years Later,” Time Magazine, November 28, 2017. </w:t>
      </w:r>
    </w:p>
    <w:p w14:paraId="365C1207" w14:textId="2D427876" w:rsidR="0003527F" w:rsidRDefault="00452925" w:rsidP="001369BE">
      <w:r>
        <w:t>--</w:t>
      </w:r>
      <w:r w:rsidR="0003527F">
        <w:t xml:space="preserve">Timothy Stewart-Winter, “Queer/Muslim Politics in the Trump Era,” Pennsylvania Press Press Log, October 5, 2017. </w:t>
      </w:r>
    </w:p>
    <w:p w14:paraId="42CA20AF" w14:textId="649F9B42" w:rsidR="00452925" w:rsidRDefault="00452925" w:rsidP="001369BE">
      <w:r>
        <w:t xml:space="preserve">--Kimberly Hamlin, “Roy Moore and the Revolution to Come,” Washington Post, November 19, 2017. </w:t>
      </w:r>
    </w:p>
    <w:p w14:paraId="53BF468A" w14:textId="77777777" w:rsidR="00ED0634" w:rsidRDefault="00ED0634"/>
    <w:p w14:paraId="4B14353E" w14:textId="18D0465A" w:rsidR="00134E6C" w:rsidRPr="00134E6C" w:rsidRDefault="00134E6C">
      <w:pPr>
        <w:rPr>
          <w:b/>
        </w:rPr>
      </w:pPr>
      <w:r w:rsidRPr="00134E6C">
        <w:rPr>
          <w:b/>
        </w:rPr>
        <w:t>Week 16</w:t>
      </w:r>
    </w:p>
    <w:p w14:paraId="1A8FC6F4" w14:textId="4EF1BAE8" w:rsidR="00134E6C" w:rsidRPr="00134E6C" w:rsidRDefault="00134E6C">
      <w:pPr>
        <w:rPr>
          <w:b/>
        </w:rPr>
      </w:pPr>
      <w:r w:rsidRPr="00134E6C">
        <w:rPr>
          <w:b/>
        </w:rPr>
        <w:t>Monday, May 7</w:t>
      </w:r>
    </w:p>
    <w:p w14:paraId="092797A8" w14:textId="2A9C3CEF" w:rsidR="00134E6C" w:rsidRPr="00134E6C" w:rsidRDefault="00134E6C">
      <w:pPr>
        <w:rPr>
          <w:b/>
        </w:rPr>
      </w:pPr>
      <w:r w:rsidRPr="00134E6C">
        <w:rPr>
          <w:b/>
        </w:rPr>
        <w:t>FINAL PAPER DUE</w:t>
      </w:r>
    </w:p>
    <w:sectPr w:rsidR="00134E6C" w:rsidRPr="00134E6C" w:rsidSect="00CD7BAD">
      <w:footerReference w:type="even" r:id="rId11"/>
      <w:footerReference w:type="default" r:id="rId12"/>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C2CE7" w14:textId="77777777" w:rsidR="00A553F5" w:rsidRDefault="00A553F5">
      <w:r>
        <w:separator/>
      </w:r>
    </w:p>
  </w:endnote>
  <w:endnote w:type="continuationSeparator" w:id="0">
    <w:p w14:paraId="336C2858" w14:textId="77777777" w:rsidR="00A553F5" w:rsidRDefault="00A5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MT">
    <w:altName w:val="Arial"/>
    <w:panose1 w:val="00000000000000000000"/>
    <w:charset w:val="4D"/>
    <w:family w:val="swiss"/>
    <w:notTrueType/>
    <w:pitch w:val="default"/>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BB5AA" w14:textId="77777777" w:rsidR="00A553F5" w:rsidRDefault="00A553F5" w:rsidP="00CD7B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5506BC" w14:textId="77777777" w:rsidR="00A553F5" w:rsidRDefault="00A553F5" w:rsidP="00CD7B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B283A" w14:textId="77777777" w:rsidR="00A553F5" w:rsidRDefault="00A553F5" w:rsidP="00CD7B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174D">
      <w:rPr>
        <w:rStyle w:val="PageNumber"/>
        <w:noProof/>
      </w:rPr>
      <w:t>1</w:t>
    </w:r>
    <w:r>
      <w:rPr>
        <w:rStyle w:val="PageNumber"/>
      </w:rPr>
      <w:fldChar w:fldCharType="end"/>
    </w:r>
  </w:p>
  <w:p w14:paraId="00E33515" w14:textId="77777777" w:rsidR="00A553F5" w:rsidRDefault="00A553F5" w:rsidP="00CD7BA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7D722" w14:textId="77777777" w:rsidR="00A553F5" w:rsidRDefault="00A553F5">
      <w:r>
        <w:separator/>
      </w:r>
    </w:p>
  </w:footnote>
  <w:footnote w:type="continuationSeparator" w:id="0">
    <w:p w14:paraId="6A4A8316" w14:textId="77777777" w:rsidR="00A553F5" w:rsidRDefault="00A553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0668E"/>
    <w:multiLevelType w:val="hybridMultilevel"/>
    <w:tmpl w:val="9E80FCB8"/>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BE"/>
    <w:rsid w:val="0003527F"/>
    <w:rsid w:val="00117501"/>
    <w:rsid w:val="00134E6C"/>
    <w:rsid w:val="001369BE"/>
    <w:rsid w:val="001554C2"/>
    <w:rsid w:val="001A4BD7"/>
    <w:rsid w:val="001A782C"/>
    <w:rsid w:val="00272EBD"/>
    <w:rsid w:val="002B174D"/>
    <w:rsid w:val="00386F16"/>
    <w:rsid w:val="003E6DC7"/>
    <w:rsid w:val="004032B6"/>
    <w:rsid w:val="00452925"/>
    <w:rsid w:val="00620F40"/>
    <w:rsid w:val="007761E2"/>
    <w:rsid w:val="00801902"/>
    <w:rsid w:val="008858FD"/>
    <w:rsid w:val="00901F86"/>
    <w:rsid w:val="009B0556"/>
    <w:rsid w:val="009D2A48"/>
    <w:rsid w:val="00A552FB"/>
    <w:rsid w:val="00A553F5"/>
    <w:rsid w:val="00A84017"/>
    <w:rsid w:val="00C2657F"/>
    <w:rsid w:val="00C41AFD"/>
    <w:rsid w:val="00CD7BAD"/>
    <w:rsid w:val="00D03877"/>
    <w:rsid w:val="00D0683C"/>
    <w:rsid w:val="00DD3124"/>
    <w:rsid w:val="00DE1D7C"/>
    <w:rsid w:val="00E35265"/>
    <w:rsid w:val="00ED0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2B5A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69BE"/>
    <w:rPr>
      <w:color w:val="0000FF"/>
      <w:u w:val="single"/>
    </w:rPr>
  </w:style>
  <w:style w:type="paragraph" w:styleId="Footer">
    <w:name w:val="footer"/>
    <w:basedOn w:val="Normal"/>
    <w:link w:val="FooterChar"/>
    <w:semiHidden/>
    <w:rsid w:val="001369BE"/>
    <w:pPr>
      <w:tabs>
        <w:tab w:val="center" w:pos="4320"/>
        <w:tab w:val="right" w:pos="8640"/>
      </w:tabs>
    </w:pPr>
  </w:style>
  <w:style w:type="character" w:customStyle="1" w:styleId="FooterChar">
    <w:name w:val="Footer Char"/>
    <w:basedOn w:val="DefaultParagraphFont"/>
    <w:link w:val="Footer"/>
    <w:semiHidden/>
    <w:rsid w:val="001369BE"/>
    <w:rPr>
      <w:rFonts w:ascii="Times New Roman" w:eastAsia="Times New Roman" w:hAnsi="Times New Roman" w:cs="Times New Roman"/>
    </w:rPr>
  </w:style>
  <w:style w:type="character" w:styleId="PageNumber">
    <w:name w:val="page number"/>
    <w:basedOn w:val="DefaultParagraphFont"/>
    <w:rsid w:val="001369BE"/>
  </w:style>
  <w:style w:type="table" w:styleId="TableGrid">
    <w:name w:val="Table Grid"/>
    <w:basedOn w:val="TableNormal"/>
    <w:uiPriority w:val="59"/>
    <w:rsid w:val="00136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9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9BE"/>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134E6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69BE"/>
    <w:rPr>
      <w:color w:val="0000FF"/>
      <w:u w:val="single"/>
    </w:rPr>
  </w:style>
  <w:style w:type="paragraph" w:styleId="Footer">
    <w:name w:val="footer"/>
    <w:basedOn w:val="Normal"/>
    <w:link w:val="FooterChar"/>
    <w:semiHidden/>
    <w:rsid w:val="001369BE"/>
    <w:pPr>
      <w:tabs>
        <w:tab w:val="center" w:pos="4320"/>
        <w:tab w:val="right" w:pos="8640"/>
      </w:tabs>
    </w:pPr>
  </w:style>
  <w:style w:type="character" w:customStyle="1" w:styleId="FooterChar">
    <w:name w:val="Footer Char"/>
    <w:basedOn w:val="DefaultParagraphFont"/>
    <w:link w:val="Footer"/>
    <w:semiHidden/>
    <w:rsid w:val="001369BE"/>
    <w:rPr>
      <w:rFonts w:ascii="Times New Roman" w:eastAsia="Times New Roman" w:hAnsi="Times New Roman" w:cs="Times New Roman"/>
    </w:rPr>
  </w:style>
  <w:style w:type="character" w:styleId="PageNumber">
    <w:name w:val="page number"/>
    <w:basedOn w:val="DefaultParagraphFont"/>
    <w:rsid w:val="001369BE"/>
  </w:style>
  <w:style w:type="table" w:styleId="TableGrid">
    <w:name w:val="Table Grid"/>
    <w:basedOn w:val="TableNormal"/>
    <w:uiPriority w:val="59"/>
    <w:rsid w:val="00136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9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9BE"/>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134E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alison.lefkovitz@njit.edu" TargetMode="External"/><Relationship Id="rId10" Type="http://schemas.openxmlformats.org/officeDocument/2006/relationships/hyperlink" Target="https://www.njit.edu/policies/sites/policies/files/academic-integrity-co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1658</Words>
  <Characters>9456</Characters>
  <Application>Microsoft Macintosh Word</Application>
  <DocSecurity>0</DocSecurity>
  <Lines>78</Lines>
  <Paragraphs>22</Paragraphs>
  <ScaleCrop>false</ScaleCrop>
  <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Lefkovitz</dc:creator>
  <cp:keywords/>
  <dc:description/>
  <cp:lastModifiedBy>Alison Lefkovitz</cp:lastModifiedBy>
  <cp:revision>12</cp:revision>
  <dcterms:created xsi:type="dcterms:W3CDTF">2018-01-02T04:55:00Z</dcterms:created>
  <dcterms:modified xsi:type="dcterms:W3CDTF">2018-01-17T21:59:00Z</dcterms:modified>
</cp:coreProperties>
</file>